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3CACA" w14:textId="2D9FFCD1"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2E78A1">
        <w:rPr>
          <w:rFonts w:ascii="Arial" w:hAnsi="Arial" w:cs="Arial"/>
          <w:bCs/>
          <w:sz w:val="28"/>
          <w:szCs w:val="28"/>
        </w:rPr>
        <w:t>Meeting #102</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2E78A1" w:rsidRPr="00B848C4">
        <w:rPr>
          <w:rFonts w:ascii="Arial" w:hAnsi="Arial" w:cs="Arial"/>
          <w:bCs/>
          <w:sz w:val="28"/>
          <w:szCs w:val="28"/>
        </w:rPr>
        <w:t>200</w:t>
      </w:r>
      <w:r w:rsidR="002A2DD5" w:rsidRPr="00B848C4">
        <w:rPr>
          <w:rFonts w:ascii="Arial" w:hAnsi="Arial" w:cs="Arial"/>
          <w:bCs/>
          <w:sz w:val="28"/>
          <w:szCs w:val="28"/>
        </w:rPr>
        <w:t>652</w:t>
      </w:r>
      <w:r w:rsidR="00D42C51">
        <w:rPr>
          <w:rFonts w:ascii="Arial" w:hAnsi="Arial" w:cs="Arial"/>
          <w:bCs/>
          <w:sz w:val="28"/>
          <w:szCs w:val="28"/>
        </w:rPr>
        <w:t>3</w:t>
      </w:r>
    </w:p>
    <w:p w14:paraId="3ED772E9" w14:textId="3EA47DA1"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August 28</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2020 </w:t>
      </w:r>
    </w:p>
    <w:p w14:paraId="40BA7AC3" w14:textId="77777777" w:rsidR="00E90E49" w:rsidRPr="00315C6E" w:rsidRDefault="00E90E49" w:rsidP="00357380">
      <w:pPr>
        <w:pStyle w:val="3GPPHeader"/>
      </w:pPr>
    </w:p>
    <w:p w14:paraId="4D0469C6" w14:textId="7A1BA493"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78A1">
        <w:rPr>
          <w:sz w:val="22"/>
          <w:szCs w:val="22"/>
        </w:rPr>
        <w:t>8.</w:t>
      </w:r>
      <w:r w:rsidR="00E4646B">
        <w:rPr>
          <w:sz w:val="22"/>
          <w:szCs w:val="22"/>
        </w:rPr>
        <w:t>5</w:t>
      </w:r>
      <w:r w:rsidR="002E78A1">
        <w:rPr>
          <w:sz w:val="22"/>
          <w:szCs w:val="22"/>
        </w:rPr>
        <w:t>.</w:t>
      </w:r>
      <w:r w:rsidR="00D42C51">
        <w:rPr>
          <w:sz w:val="22"/>
          <w:szCs w:val="22"/>
        </w:rPr>
        <w:t>4</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5319AC10" w:rsidR="00E90E49" w:rsidRPr="00315C6E" w:rsidRDefault="003D3C45" w:rsidP="00311702">
      <w:pPr>
        <w:pStyle w:val="3GPPHeader"/>
        <w:rPr>
          <w:sz w:val="22"/>
          <w:szCs w:val="22"/>
        </w:rPr>
      </w:pPr>
      <w:r w:rsidRPr="00315C6E">
        <w:rPr>
          <w:sz w:val="22"/>
          <w:szCs w:val="22"/>
        </w:rPr>
        <w:t>Title:</w:t>
      </w:r>
      <w:r w:rsidR="00193533">
        <w:rPr>
          <w:sz w:val="22"/>
          <w:szCs w:val="22"/>
        </w:rPr>
        <w:tab/>
      </w:r>
      <w:r w:rsidR="00D42C51" w:rsidRPr="00D42C51">
        <w:rPr>
          <w:sz w:val="22"/>
          <w:szCs w:val="22"/>
        </w:rPr>
        <w:t>Analysis of L1 Positioning Latency</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7BFC2530" w14:textId="5A6F5BB8" w:rsidR="00F838FC" w:rsidRDefault="00F838FC" w:rsidP="00F838FC">
      <w:pPr>
        <w:jc w:val="both"/>
        <w:rPr>
          <w:sz w:val="20"/>
          <w:szCs w:val="20"/>
        </w:rPr>
      </w:pPr>
      <w:r w:rsidRPr="00F838FC">
        <w:rPr>
          <w:sz w:val="20"/>
          <w:szCs w:val="20"/>
        </w:rPr>
        <w:t>In 3GPP RAN#86[1], a study item for Rel-17 NR positioning enhancements was approved, and later it was revised in RAN#88e [2].  The objectives of Rel-17 positioning SI, under RAN1 scope, is to study solutions to enhance positioning accuracy, reduce latency, and improve network and device efficiency, as it can be found below:</w:t>
      </w:r>
    </w:p>
    <w:p w14:paraId="7D1E8E2B" w14:textId="77777777" w:rsidR="00170E22" w:rsidRPr="00F838FC" w:rsidRDefault="00170E22" w:rsidP="00F838FC">
      <w:pPr>
        <w:jc w:val="both"/>
        <w:rPr>
          <w:sz w:val="20"/>
          <w:szCs w:val="20"/>
        </w:rPr>
      </w:pPr>
    </w:p>
    <w:p w14:paraId="132B90CF" w14:textId="77777777" w:rsidR="00F838FC" w:rsidRPr="00F838FC" w:rsidRDefault="00F838FC" w:rsidP="00F838FC">
      <w:pPr>
        <w:numPr>
          <w:ilvl w:val="0"/>
          <w:numId w:val="38"/>
        </w:numPr>
        <w:jc w:val="both"/>
        <w:rPr>
          <w:sz w:val="20"/>
          <w:szCs w:val="20"/>
        </w:rPr>
      </w:pPr>
      <w:r w:rsidRPr="00F838FC">
        <w:rPr>
          <w:sz w:val="20"/>
          <w:szCs w:val="20"/>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095F1E1C" w14:textId="77777777" w:rsidR="00F838FC" w:rsidRPr="00F838FC" w:rsidRDefault="00F838FC" w:rsidP="00F838FC">
      <w:pPr>
        <w:numPr>
          <w:ilvl w:val="1"/>
          <w:numId w:val="38"/>
        </w:numPr>
        <w:jc w:val="both"/>
        <w:rPr>
          <w:sz w:val="20"/>
          <w:szCs w:val="20"/>
        </w:rPr>
      </w:pPr>
      <w:r w:rsidRPr="00F838FC">
        <w:rPr>
          <w:sz w:val="20"/>
          <w:szCs w:val="20"/>
        </w:rPr>
        <w:t>Define additional scenarios (e.g. (I)IoT) based on TR 38.901 to evaluate the performance for the use cases (e.g. (I)IoT). [RAN1]</w:t>
      </w:r>
    </w:p>
    <w:p w14:paraId="2112C189" w14:textId="77777777" w:rsidR="00F838FC" w:rsidRPr="00F838FC" w:rsidRDefault="00F838FC" w:rsidP="00F838FC">
      <w:pPr>
        <w:numPr>
          <w:ilvl w:val="1"/>
          <w:numId w:val="38"/>
        </w:numPr>
        <w:jc w:val="both"/>
        <w:rPr>
          <w:sz w:val="20"/>
          <w:szCs w:val="20"/>
        </w:rPr>
      </w:pPr>
      <w:r w:rsidRPr="00F838FC">
        <w:rPr>
          <w:sz w:val="20"/>
          <w:szCs w:val="20"/>
        </w:rPr>
        <w:t>Evaluate the achievable positioning accuracy and latency with the Rel-16 positioning solutions in (I)IoT scenarios and identify any performance gaps. [RAN1]</w:t>
      </w:r>
      <w:r w:rsidRPr="00F838FC">
        <w:rPr>
          <w:sz w:val="20"/>
          <w:szCs w:val="20"/>
        </w:rPr>
        <w:tab/>
      </w:r>
    </w:p>
    <w:p w14:paraId="6797626F" w14:textId="77777777" w:rsidR="00F838FC" w:rsidRPr="00F838FC" w:rsidRDefault="00F838FC" w:rsidP="00F838FC">
      <w:pPr>
        <w:numPr>
          <w:ilvl w:val="1"/>
          <w:numId w:val="38"/>
        </w:numPr>
        <w:jc w:val="both"/>
        <w:rPr>
          <w:sz w:val="20"/>
          <w:szCs w:val="20"/>
        </w:rPr>
      </w:pPr>
      <w:r w:rsidRPr="00F838FC">
        <w:rPr>
          <w:sz w:val="20"/>
          <w:szCs w:val="20"/>
        </w:rPr>
        <w:t xml:space="preserve">Identify and evaluate positioning techniques, DL/UL positioning reference signals, </w:t>
      </w:r>
      <w:proofErr w:type="spellStart"/>
      <w:r w:rsidRPr="00F838FC">
        <w:rPr>
          <w:sz w:val="20"/>
          <w:szCs w:val="20"/>
        </w:rPr>
        <w:t>signalling</w:t>
      </w:r>
      <w:proofErr w:type="spellEnd"/>
      <w:r w:rsidRPr="00F838FC">
        <w:rPr>
          <w:sz w:val="20"/>
          <w:szCs w:val="20"/>
        </w:rPr>
        <w:t xml:space="preserve"> and procedures for </w:t>
      </w:r>
      <w:r w:rsidRPr="00F838FC">
        <w:rPr>
          <w:sz w:val="20"/>
          <w:szCs w:val="20"/>
          <w:lang w:val="en-GB"/>
        </w:rPr>
        <w:t xml:space="preserve">improved accuracy, </w:t>
      </w:r>
      <w:r w:rsidRPr="00F838FC">
        <w:rPr>
          <w:sz w:val="20"/>
          <w:szCs w:val="20"/>
        </w:rPr>
        <w:t xml:space="preserve">reduced </w:t>
      </w:r>
      <w:r w:rsidRPr="00F838FC">
        <w:rPr>
          <w:sz w:val="20"/>
          <w:szCs w:val="20"/>
          <w:lang w:val="en-GB"/>
        </w:rPr>
        <w:t>latency,</w:t>
      </w:r>
      <w:r w:rsidRPr="00F838FC">
        <w:rPr>
          <w:sz w:val="20"/>
          <w:szCs w:val="20"/>
        </w:rPr>
        <w:t xml:space="preserve"> network efficiency, and device efficiency</w:t>
      </w:r>
      <w:r w:rsidRPr="00F838FC">
        <w:rPr>
          <w:sz w:val="20"/>
          <w:szCs w:val="20"/>
          <w:lang w:val="en-GB"/>
        </w:rPr>
        <w:t>.</w:t>
      </w:r>
      <w:r w:rsidRPr="00F838FC">
        <w:rPr>
          <w:sz w:val="20"/>
          <w:szCs w:val="20"/>
        </w:rPr>
        <w:br/>
        <w:t>Enhancements to Rel-16 positioning techniques, if they meet the requirements, will be prioritized, and new techniques will not be considered in this case. [RAN1, RAN2]</w:t>
      </w:r>
    </w:p>
    <w:p w14:paraId="35A828F9" w14:textId="77777777" w:rsidR="00F838FC" w:rsidRPr="00F838FC" w:rsidRDefault="00F838FC" w:rsidP="00F838FC">
      <w:pPr>
        <w:ind w:left="567"/>
        <w:jc w:val="both"/>
        <w:rPr>
          <w:sz w:val="20"/>
          <w:szCs w:val="20"/>
        </w:rPr>
      </w:pPr>
      <w:r w:rsidRPr="00F838FC">
        <w:rPr>
          <w:sz w:val="20"/>
          <w:szCs w:val="20"/>
        </w:rPr>
        <w:t>NOTE 1:</w:t>
      </w:r>
      <w:r w:rsidRPr="00F838FC">
        <w:rPr>
          <w:sz w:val="20"/>
          <w:szCs w:val="20"/>
        </w:rPr>
        <w:tab/>
      </w:r>
      <w:proofErr w:type="spellStart"/>
      <w:r w:rsidRPr="00F838FC">
        <w:rPr>
          <w:sz w:val="20"/>
          <w:szCs w:val="20"/>
        </w:rPr>
        <w:t>Sidelink</w:t>
      </w:r>
      <w:proofErr w:type="spellEnd"/>
      <w:r w:rsidRPr="00F838FC">
        <w:rPr>
          <w:sz w:val="20"/>
          <w:szCs w:val="20"/>
        </w:rPr>
        <w:t xml:space="preserve"> is not part of this objective.</w:t>
      </w:r>
    </w:p>
    <w:p w14:paraId="0F389A79" w14:textId="77777777" w:rsidR="00F838FC" w:rsidRPr="00F838FC" w:rsidRDefault="00F838FC" w:rsidP="00F838FC">
      <w:pPr>
        <w:ind w:left="567"/>
        <w:jc w:val="both"/>
        <w:rPr>
          <w:sz w:val="20"/>
          <w:szCs w:val="20"/>
        </w:rPr>
      </w:pPr>
      <w:r w:rsidRPr="00F838FC">
        <w:rPr>
          <w:sz w:val="20"/>
          <w:szCs w:val="20"/>
        </w:rPr>
        <w:t>NOTE 2:</w:t>
      </w:r>
      <w:r w:rsidRPr="00F838FC">
        <w:rPr>
          <w:sz w:val="20"/>
          <w:szCs w:val="20"/>
        </w:rPr>
        <w:tab/>
        <w:t>Involve RAN4 for validating assumptions for the systems evaluations where appropriate.</w:t>
      </w:r>
    </w:p>
    <w:p w14:paraId="098AC869" w14:textId="77777777" w:rsidR="00F838FC" w:rsidRPr="00F838FC" w:rsidRDefault="00F838FC" w:rsidP="00F838FC">
      <w:pPr>
        <w:ind w:left="567"/>
        <w:jc w:val="both"/>
        <w:rPr>
          <w:sz w:val="20"/>
          <w:szCs w:val="20"/>
        </w:rPr>
      </w:pPr>
      <w:r w:rsidRPr="00F838FC">
        <w:rPr>
          <w:sz w:val="20"/>
          <w:szCs w:val="20"/>
        </w:rPr>
        <w:t>NOTE 3:</w:t>
      </w:r>
      <w:r w:rsidRPr="00F838FC">
        <w:rPr>
          <w:sz w:val="20"/>
          <w:szCs w:val="20"/>
        </w:rPr>
        <w:tab/>
        <w:t>The commercial use cases and requirements are applicable to a limited geographic area.</w:t>
      </w:r>
    </w:p>
    <w:p w14:paraId="2C371D51" w14:textId="77777777" w:rsidR="00F838FC" w:rsidRPr="00F838FC" w:rsidRDefault="00F838FC" w:rsidP="00F838FC">
      <w:pPr>
        <w:jc w:val="both"/>
        <w:rPr>
          <w:sz w:val="20"/>
          <w:szCs w:val="20"/>
        </w:rPr>
      </w:pPr>
    </w:p>
    <w:p w14:paraId="596C769B" w14:textId="77777777" w:rsidR="00F838FC" w:rsidRPr="00F838FC" w:rsidRDefault="00F838FC" w:rsidP="00F838FC">
      <w:pPr>
        <w:jc w:val="both"/>
        <w:rPr>
          <w:sz w:val="20"/>
          <w:szCs w:val="20"/>
        </w:rPr>
      </w:pPr>
      <w:r w:rsidRPr="00F838FC">
        <w:rPr>
          <w:sz w:val="20"/>
          <w:szCs w:val="20"/>
        </w:rPr>
        <w:t>Further, it was agreed in RAN1#101e that [3]:</w:t>
      </w:r>
    </w:p>
    <w:p w14:paraId="310EEB68" w14:textId="77777777" w:rsidR="00F838FC" w:rsidRPr="00F838FC" w:rsidRDefault="00F838FC" w:rsidP="00F838FC">
      <w:pPr>
        <w:jc w:val="both"/>
        <w:rPr>
          <w:sz w:val="20"/>
          <w:szCs w:val="20"/>
        </w:rPr>
      </w:pPr>
      <w:r w:rsidRPr="00F838FC">
        <w:rPr>
          <w:sz w:val="20"/>
          <w:szCs w:val="20"/>
          <w:highlight w:val="green"/>
        </w:rPr>
        <w:t>Agreement</w:t>
      </w:r>
      <w:r w:rsidRPr="00F838FC">
        <w:rPr>
          <w:sz w:val="20"/>
          <w:szCs w:val="20"/>
        </w:rPr>
        <w:t>:</w:t>
      </w:r>
    </w:p>
    <w:p w14:paraId="2469B91E" w14:textId="77777777" w:rsidR="00F838FC" w:rsidRPr="00F838FC" w:rsidRDefault="00F838FC" w:rsidP="00F838FC">
      <w:pPr>
        <w:numPr>
          <w:ilvl w:val="0"/>
          <w:numId w:val="41"/>
        </w:numPr>
        <w:jc w:val="both"/>
        <w:rPr>
          <w:sz w:val="20"/>
          <w:szCs w:val="20"/>
        </w:rPr>
      </w:pPr>
      <w:r w:rsidRPr="00F838FC">
        <w:rPr>
          <w:sz w:val="20"/>
          <w:szCs w:val="20"/>
        </w:rPr>
        <w:t xml:space="preserve">In Rel-17 target positioning requirements for </w:t>
      </w:r>
      <w:r w:rsidRPr="00F838FC">
        <w:rPr>
          <w:b/>
          <w:sz w:val="20"/>
          <w:szCs w:val="20"/>
        </w:rPr>
        <w:t>commercial use cases</w:t>
      </w:r>
      <w:r w:rsidRPr="00F838FC">
        <w:rPr>
          <w:sz w:val="20"/>
          <w:szCs w:val="20"/>
        </w:rPr>
        <w:t xml:space="preserve"> are defined as follows:</w:t>
      </w:r>
    </w:p>
    <w:p w14:paraId="06EF808E" w14:textId="77777777" w:rsidR="00F838FC" w:rsidRPr="00F838FC" w:rsidRDefault="00F838FC" w:rsidP="00F838FC">
      <w:pPr>
        <w:numPr>
          <w:ilvl w:val="1"/>
          <w:numId w:val="42"/>
        </w:numPr>
        <w:jc w:val="both"/>
        <w:rPr>
          <w:sz w:val="20"/>
          <w:szCs w:val="20"/>
        </w:rPr>
      </w:pPr>
      <w:r w:rsidRPr="00F838FC">
        <w:rPr>
          <w:sz w:val="20"/>
          <w:szCs w:val="20"/>
        </w:rPr>
        <w:t>Horizontal position accuracy (&lt; 1 m) for [90%] of UEs</w:t>
      </w:r>
    </w:p>
    <w:p w14:paraId="2D237418" w14:textId="77777777" w:rsidR="00F838FC" w:rsidRPr="00F838FC" w:rsidRDefault="00F838FC" w:rsidP="00F838FC">
      <w:pPr>
        <w:numPr>
          <w:ilvl w:val="1"/>
          <w:numId w:val="42"/>
        </w:numPr>
        <w:jc w:val="both"/>
        <w:rPr>
          <w:sz w:val="20"/>
          <w:szCs w:val="20"/>
        </w:rPr>
      </w:pPr>
      <w:r w:rsidRPr="00F838FC">
        <w:rPr>
          <w:sz w:val="20"/>
          <w:szCs w:val="20"/>
        </w:rPr>
        <w:t>Vertical position accuracy (&lt; [2 or 3] m) for [90%] of UEs</w:t>
      </w:r>
    </w:p>
    <w:p w14:paraId="44299283" w14:textId="77777777" w:rsidR="00F838FC" w:rsidRPr="00F838FC" w:rsidRDefault="00F838FC" w:rsidP="00F838FC">
      <w:pPr>
        <w:numPr>
          <w:ilvl w:val="1"/>
          <w:numId w:val="42"/>
        </w:numPr>
        <w:jc w:val="both"/>
        <w:rPr>
          <w:sz w:val="20"/>
          <w:szCs w:val="20"/>
        </w:rPr>
      </w:pPr>
      <w:r w:rsidRPr="00F838FC">
        <w:rPr>
          <w:sz w:val="20"/>
          <w:szCs w:val="20"/>
        </w:rPr>
        <w:t xml:space="preserve">End-to-end latency for position estimation of UE (&lt; [100 </w:t>
      </w:r>
      <w:proofErr w:type="spellStart"/>
      <w:r w:rsidRPr="00F838FC">
        <w:rPr>
          <w:sz w:val="20"/>
          <w:szCs w:val="20"/>
        </w:rPr>
        <w:t>ms</w:t>
      </w:r>
      <w:proofErr w:type="spellEnd"/>
      <w:r w:rsidRPr="00F838FC">
        <w:rPr>
          <w:sz w:val="20"/>
          <w:szCs w:val="20"/>
        </w:rPr>
        <w:t>])</w:t>
      </w:r>
    </w:p>
    <w:p w14:paraId="09E6849C" w14:textId="77777777" w:rsidR="00F838FC" w:rsidRPr="00F838FC" w:rsidRDefault="00F838FC" w:rsidP="00F838FC">
      <w:pPr>
        <w:numPr>
          <w:ilvl w:val="1"/>
          <w:numId w:val="42"/>
        </w:numPr>
        <w:jc w:val="both"/>
        <w:rPr>
          <w:sz w:val="20"/>
          <w:szCs w:val="20"/>
        </w:rPr>
      </w:pPr>
      <w:r w:rsidRPr="00F838FC">
        <w:rPr>
          <w:sz w:val="20"/>
          <w:szCs w:val="20"/>
        </w:rPr>
        <w:t xml:space="preserve">FFS: Physical layer latency for position estimation of UE (&lt; [10 </w:t>
      </w:r>
      <w:proofErr w:type="spellStart"/>
      <w:r w:rsidRPr="00F838FC">
        <w:rPr>
          <w:sz w:val="20"/>
          <w:szCs w:val="20"/>
        </w:rPr>
        <w:t>ms</w:t>
      </w:r>
      <w:proofErr w:type="spellEnd"/>
      <w:r w:rsidRPr="00F838FC">
        <w:rPr>
          <w:sz w:val="20"/>
          <w:szCs w:val="20"/>
        </w:rPr>
        <w:t>])</w:t>
      </w:r>
    </w:p>
    <w:p w14:paraId="6B7A000E" w14:textId="77777777" w:rsidR="00F838FC" w:rsidRPr="00F838FC" w:rsidRDefault="00F838FC" w:rsidP="00F838FC">
      <w:pPr>
        <w:numPr>
          <w:ilvl w:val="0"/>
          <w:numId w:val="41"/>
        </w:numPr>
        <w:jc w:val="both"/>
        <w:rPr>
          <w:sz w:val="20"/>
          <w:szCs w:val="20"/>
        </w:rPr>
      </w:pPr>
      <w:r w:rsidRPr="00F838FC">
        <w:rPr>
          <w:sz w:val="20"/>
          <w:szCs w:val="20"/>
        </w:rPr>
        <w:t xml:space="preserve">In Rel-17 target positioning requirements for </w:t>
      </w:r>
      <w:proofErr w:type="spellStart"/>
      <w:r w:rsidRPr="00F838FC">
        <w:rPr>
          <w:b/>
          <w:bCs/>
          <w:sz w:val="20"/>
          <w:szCs w:val="20"/>
        </w:rPr>
        <w:t>IIoT</w:t>
      </w:r>
      <w:proofErr w:type="spellEnd"/>
      <w:r w:rsidRPr="00F838FC">
        <w:rPr>
          <w:b/>
          <w:bCs/>
          <w:sz w:val="20"/>
          <w:szCs w:val="20"/>
        </w:rPr>
        <w:t xml:space="preserve"> use cases</w:t>
      </w:r>
      <w:r w:rsidRPr="00F838FC">
        <w:rPr>
          <w:sz w:val="20"/>
          <w:szCs w:val="20"/>
        </w:rPr>
        <w:t xml:space="preserve"> are defined as follows:</w:t>
      </w:r>
    </w:p>
    <w:p w14:paraId="4260F972" w14:textId="77777777" w:rsidR="00F838FC" w:rsidRPr="00F838FC" w:rsidRDefault="00F838FC" w:rsidP="00F838FC">
      <w:pPr>
        <w:numPr>
          <w:ilvl w:val="1"/>
          <w:numId w:val="42"/>
        </w:numPr>
        <w:jc w:val="both"/>
        <w:rPr>
          <w:sz w:val="20"/>
          <w:szCs w:val="20"/>
        </w:rPr>
      </w:pPr>
      <w:r w:rsidRPr="00F838FC">
        <w:rPr>
          <w:sz w:val="20"/>
          <w:szCs w:val="20"/>
        </w:rPr>
        <w:t>Horizontal position accuracy (&lt; X m) for [90%] of UEs</w:t>
      </w:r>
    </w:p>
    <w:p w14:paraId="1D4E54AC" w14:textId="77777777" w:rsidR="00F838FC" w:rsidRPr="00F838FC" w:rsidRDefault="00F838FC" w:rsidP="00F838FC">
      <w:pPr>
        <w:numPr>
          <w:ilvl w:val="2"/>
          <w:numId w:val="42"/>
        </w:numPr>
        <w:jc w:val="both"/>
        <w:rPr>
          <w:sz w:val="20"/>
          <w:szCs w:val="20"/>
        </w:rPr>
      </w:pPr>
      <w:r w:rsidRPr="00F838FC">
        <w:rPr>
          <w:sz w:val="20"/>
          <w:szCs w:val="20"/>
        </w:rPr>
        <w:t>X = [0.2 or 0.5] m</w:t>
      </w:r>
    </w:p>
    <w:p w14:paraId="6112FE2F" w14:textId="77777777" w:rsidR="00F838FC" w:rsidRPr="00F838FC" w:rsidRDefault="00F838FC" w:rsidP="00F838FC">
      <w:pPr>
        <w:numPr>
          <w:ilvl w:val="1"/>
          <w:numId w:val="42"/>
        </w:numPr>
        <w:jc w:val="both"/>
        <w:rPr>
          <w:sz w:val="20"/>
          <w:szCs w:val="20"/>
        </w:rPr>
      </w:pPr>
      <w:r w:rsidRPr="00F838FC">
        <w:rPr>
          <w:sz w:val="20"/>
          <w:szCs w:val="20"/>
        </w:rPr>
        <w:t>Vertical position accuracy (&lt; Y m) for [90%] of UEs</w:t>
      </w:r>
    </w:p>
    <w:p w14:paraId="30AE37A7" w14:textId="77777777" w:rsidR="00F838FC" w:rsidRPr="00F838FC" w:rsidRDefault="00F838FC" w:rsidP="00F838FC">
      <w:pPr>
        <w:numPr>
          <w:ilvl w:val="2"/>
          <w:numId w:val="42"/>
        </w:numPr>
        <w:jc w:val="both"/>
        <w:rPr>
          <w:sz w:val="20"/>
          <w:szCs w:val="20"/>
        </w:rPr>
      </w:pPr>
      <w:r w:rsidRPr="00F838FC">
        <w:rPr>
          <w:sz w:val="20"/>
          <w:szCs w:val="20"/>
        </w:rPr>
        <w:t>Y = [0.2 or 1] m</w:t>
      </w:r>
    </w:p>
    <w:p w14:paraId="2699CEB2" w14:textId="77777777" w:rsidR="00F838FC" w:rsidRPr="00F838FC" w:rsidRDefault="00F838FC" w:rsidP="00F838FC">
      <w:pPr>
        <w:numPr>
          <w:ilvl w:val="1"/>
          <w:numId w:val="42"/>
        </w:numPr>
        <w:jc w:val="both"/>
        <w:rPr>
          <w:sz w:val="20"/>
          <w:szCs w:val="20"/>
        </w:rPr>
      </w:pPr>
      <w:r w:rsidRPr="00F838FC">
        <w:rPr>
          <w:sz w:val="20"/>
          <w:szCs w:val="20"/>
        </w:rPr>
        <w:t>End-to-end latency for position estimation of UE (&lt; [10ms, 20ms, or 100ms])</w:t>
      </w:r>
    </w:p>
    <w:p w14:paraId="759B5203" w14:textId="77777777" w:rsidR="00F838FC" w:rsidRPr="00F838FC" w:rsidRDefault="00F838FC" w:rsidP="00F838FC">
      <w:pPr>
        <w:numPr>
          <w:ilvl w:val="1"/>
          <w:numId w:val="42"/>
        </w:numPr>
        <w:jc w:val="both"/>
        <w:rPr>
          <w:sz w:val="20"/>
          <w:szCs w:val="20"/>
        </w:rPr>
      </w:pPr>
      <w:r w:rsidRPr="00F838FC">
        <w:rPr>
          <w:sz w:val="20"/>
          <w:szCs w:val="20"/>
        </w:rPr>
        <w:t>FFS: Physical layer latency for position estimation of UE (&lt; [10ms])</w:t>
      </w:r>
    </w:p>
    <w:p w14:paraId="62A624A4" w14:textId="77777777" w:rsidR="00F838FC" w:rsidRPr="00F838FC" w:rsidRDefault="00F838FC" w:rsidP="00F838FC">
      <w:pPr>
        <w:numPr>
          <w:ilvl w:val="0"/>
          <w:numId w:val="41"/>
        </w:numPr>
        <w:jc w:val="both"/>
        <w:rPr>
          <w:sz w:val="20"/>
          <w:szCs w:val="20"/>
        </w:rPr>
      </w:pPr>
      <w:r w:rsidRPr="00F838FC">
        <w:rPr>
          <w:sz w:val="20"/>
          <w:szCs w:val="20"/>
        </w:rPr>
        <w:t>Note: Target positioning requirements may not necessarily be reached for all scenarios</w:t>
      </w:r>
    </w:p>
    <w:p w14:paraId="1AD8829E" w14:textId="77777777" w:rsidR="00F838FC" w:rsidRPr="00F838FC" w:rsidRDefault="00F838FC" w:rsidP="00F838FC">
      <w:pPr>
        <w:jc w:val="both"/>
        <w:rPr>
          <w:sz w:val="20"/>
          <w:szCs w:val="20"/>
        </w:rPr>
      </w:pPr>
    </w:p>
    <w:p w14:paraId="7F17B578" w14:textId="77777777" w:rsidR="00F838FC" w:rsidRPr="00F838FC" w:rsidRDefault="00F838FC" w:rsidP="00F838FC">
      <w:pPr>
        <w:jc w:val="both"/>
        <w:rPr>
          <w:sz w:val="20"/>
          <w:szCs w:val="20"/>
        </w:rPr>
      </w:pPr>
      <w:r w:rsidRPr="00F838FC">
        <w:rPr>
          <w:sz w:val="20"/>
          <w:szCs w:val="20"/>
          <w:highlight w:val="green"/>
        </w:rPr>
        <w:t>Agreement</w:t>
      </w:r>
      <w:r w:rsidRPr="00F838FC">
        <w:rPr>
          <w:sz w:val="20"/>
          <w:szCs w:val="20"/>
        </w:rPr>
        <w:t>:</w:t>
      </w:r>
    </w:p>
    <w:p w14:paraId="4B99C723" w14:textId="77777777" w:rsidR="00F838FC" w:rsidRPr="00F838FC" w:rsidRDefault="00F838FC" w:rsidP="00F838FC">
      <w:pPr>
        <w:jc w:val="both"/>
        <w:rPr>
          <w:sz w:val="20"/>
          <w:szCs w:val="20"/>
        </w:rPr>
      </w:pPr>
      <w:r w:rsidRPr="00F838FC">
        <w:rPr>
          <w:sz w:val="20"/>
          <w:szCs w:val="20"/>
        </w:rPr>
        <w:t>Network efficiency and UE efficiency can be evaluated at least in an analytical manner.</w:t>
      </w:r>
    </w:p>
    <w:p w14:paraId="65795E02" w14:textId="77777777" w:rsidR="00F838FC" w:rsidRPr="00F838FC" w:rsidRDefault="00F838FC" w:rsidP="00F838FC">
      <w:pPr>
        <w:numPr>
          <w:ilvl w:val="0"/>
          <w:numId w:val="40"/>
        </w:numPr>
        <w:jc w:val="both"/>
        <w:rPr>
          <w:sz w:val="20"/>
          <w:szCs w:val="20"/>
        </w:rPr>
      </w:pPr>
      <w:r w:rsidRPr="00F838FC">
        <w:rPr>
          <w:sz w:val="20"/>
          <w:szCs w:val="20"/>
        </w:rPr>
        <w:t>FFS: the definition of efficiency metric (e.g., the positioning performance (accuracy, latency) vs. PRS/SRS resource utilization etc.)</w:t>
      </w:r>
    </w:p>
    <w:p w14:paraId="7C1859D3" w14:textId="71F70F5B" w:rsidR="00F838FC" w:rsidRDefault="00F838FC" w:rsidP="00F838FC">
      <w:pPr>
        <w:numPr>
          <w:ilvl w:val="0"/>
          <w:numId w:val="40"/>
        </w:numPr>
        <w:jc w:val="both"/>
        <w:rPr>
          <w:sz w:val="20"/>
          <w:szCs w:val="20"/>
        </w:rPr>
      </w:pPr>
      <w:r w:rsidRPr="00F838FC">
        <w:rPr>
          <w:sz w:val="20"/>
          <w:szCs w:val="20"/>
        </w:rPr>
        <w:t>Note: It will be up to each company on whether to use other methods (e.g., numerical simulation) for the evaluation.</w:t>
      </w:r>
    </w:p>
    <w:p w14:paraId="2E151810" w14:textId="77777777" w:rsidR="00F838FC" w:rsidRPr="00F838FC" w:rsidRDefault="00F838FC" w:rsidP="00F838FC">
      <w:pPr>
        <w:ind w:left="720"/>
        <w:jc w:val="both"/>
        <w:rPr>
          <w:sz w:val="20"/>
          <w:szCs w:val="20"/>
        </w:rPr>
      </w:pPr>
    </w:p>
    <w:p w14:paraId="4D3AF175" w14:textId="77777777" w:rsidR="00F838FC" w:rsidRPr="00F838FC" w:rsidRDefault="00F838FC" w:rsidP="00F838FC">
      <w:pPr>
        <w:jc w:val="both"/>
        <w:rPr>
          <w:sz w:val="20"/>
          <w:szCs w:val="20"/>
        </w:rPr>
      </w:pPr>
      <w:r w:rsidRPr="00F838FC">
        <w:rPr>
          <w:sz w:val="20"/>
          <w:szCs w:val="20"/>
          <w:highlight w:val="green"/>
        </w:rPr>
        <w:lastRenderedPageBreak/>
        <w:t>Agreement</w:t>
      </w:r>
      <w:r w:rsidRPr="00F838FC">
        <w:rPr>
          <w:sz w:val="20"/>
          <w:szCs w:val="20"/>
        </w:rPr>
        <w:t>:</w:t>
      </w:r>
    </w:p>
    <w:p w14:paraId="694DEE71" w14:textId="77777777" w:rsidR="00F838FC" w:rsidRPr="00F838FC" w:rsidRDefault="00F838FC" w:rsidP="00F838FC">
      <w:pPr>
        <w:numPr>
          <w:ilvl w:val="0"/>
          <w:numId w:val="41"/>
        </w:numPr>
        <w:jc w:val="both"/>
        <w:rPr>
          <w:sz w:val="20"/>
          <w:szCs w:val="20"/>
        </w:rPr>
      </w:pPr>
      <w:r w:rsidRPr="00F838FC">
        <w:rPr>
          <w:sz w:val="20"/>
          <w:szCs w:val="20"/>
        </w:rPr>
        <w:t>UE power consumption for NR positioning can be optionally evaluated in the SI.</w:t>
      </w:r>
    </w:p>
    <w:p w14:paraId="6DC15631" w14:textId="77777777" w:rsidR="00F838FC" w:rsidRPr="00F838FC" w:rsidRDefault="00F838FC" w:rsidP="00F838FC">
      <w:pPr>
        <w:numPr>
          <w:ilvl w:val="0"/>
          <w:numId w:val="41"/>
        </w:numPr>
        <w:jc w:val="both"/>
        <w:rPr>
          <w:sz w:val="20"/>
          <w:szCs w:val="20"/>
        </w:rPr>
      </w:pPr>
      <w:r w:rsidRPr="00F838FC">
        <w:rPr>
          <w:sz w:val="20"/>
          <w:szCs w:val="20"/>
        </w:rPr>
        <w:t>Note: It is up to each company on how to evaluate the power consumption for positioning. The UE power consumption models developed in TR38.840 can be considered as the starting point for defining the UE power consumption model for the evaluation for NR positioning</w:t>
      </w:r>
    </w:p>
    <w:p w14:paraId="576C4BBA" w14:textId="77777777" w:rsidR="00F838FC" w:rsidRDefault="00F838FC" w:rsidP="00F838FC">
      <w:pPr>
        <w:jc w:val="both"/>
        <w:rPr>
          <w:sz w:val="20"/>
          <w:szCs w:val="20"/>
        </w:rPr>
      </w:pPr>
    </w:p>
    <w:p w14:paraId="2D147A48" w14:textId="7A48D6FB" w:rsidR="00F838FC" w:rsidRPr="00F838FC" w:rsidRDefault="00F838FC" w:rsidP="00F838FC">
      <w:pPr>
        <w:jc w:val="both"/>
        <w:rPr>
          <w:sz w:val="20"/>
          <w:szCs w:val="20"/>
        </w:rPr>
      </w:pPr>
      <w:r w:rsidRPr="00F838FC">
        <w:rPr>
          <w:sz w:val="20"/>
          <w:szCs w:val="20"/>
          <w:highlight w:val="green"/>
        </w:rPr>
        <w:t>Agreement</w:t>
      </w:r>
      <w:r w:rsidRPr="00F838FC">
        <w:rPr>
          <w:sz w:val="20"/>
          <w:szCs w:val="20"/>
        </w:rPr>
        <w:t>:</w:t>
      </w:r>
    </w:p>
    <w:p w14:paraId="05A3E5F7" w14:textId="77777777" w:rsidR="00F838FC" w:rsidRPr="00F838FC" w:rsidRDefault="00F838FC" w:rsidP="00F838FC">
      <w:pPr>
        <w:jc w:val="both"/>
        <w:rPr>
          <w:sz w:val="20"/>
          <w:szCs w:val="20"/>
        </w:rPr>
      </w:pPr>
      <w:r w:rsidRPr="00F838FC">
        <w:rPr>
          <w:sz w:val="20"/>
          <w:szCs w:val="20"/>
        </w:rPr>
        <w:t>Physical layer latency can be evaluated through analysis and, optionally, numerical evaluation.</w:t>
      </w:r>
    </w:p>
    <w:p w14:paraId="7BB9E4FB" w14:textId="77777777" w:rsidR="00F838FC" w:rsidRPr="00F838FC" w:rsidRDefault="00F838FC" w:rsidP="00F838FC">
      <w:pPr>
        <w:jc w:val="both"/>
        <w:rPr>
          <w:sz w:val="20"/>
          <w:szCs w:val="20"/>
        </w:rPr>
      </w:pPr>
    </w:p>
    <w:p w14:paraId="2592707D" w14:textId="77777777" w:rsidR="00F838FC" w:rsidRPr="00F838FC" w:rsidRDefault="00F838FC" w:rsidP="00F838FC">
      <w:pPr>
        <w:jc w:val="both"/>
        <w:rPr>
          <w:sz w:val="20"/>
          <w:szCs w:val="20"/>
        </w:rPr>
      </w:pPr>
      <w:r w:rsidRPr="00F838FC">
        <w:rPr>
          <w:sz w:val="20"/>
          <w:szCs w:val="20"/>
          <w:highlight w:val="green"/>
        </w:rPr>
        <w:t>Agreement</w:t>
      </w:r>
      <w:r w:rsidRPr="00F838FC">
        <w:rPr>
          <w:sz w:val="20"/>
          <w:szCs w:val="20"/>
        </w:rPr>
        <w:t>:</w:t>
      </w:r>
    </w:p>
    <w:p w14:paraId="7DF23643" w14:textId="77777777" w:rsidR="00F838FC" w:rsidRPr="00F838FC" w:rsidRDefault="00F838FC" w:rsidP="00F838FC">
      <w:pPr>
        <w:numPr>
          <w:ilvl w:val="0"/>
          <w:numId w:val="39"/>
        </w:numPr>
        <w:jc w:val="both"/>
        <w:rPr>
          <w:sz w:val="20"/>
          <w:szCs w:val="20"/>
        </w:rPr>
      </w:pPr>
      <w:proofErr w:type="spellStart"/>
      <w:r w:rsidRPr="00F838FC">
        <w:rPr>
          <w:sz w:val="20"/>
          <w:szCs w:val="20"/>
        </w:rPr>
        <w:t>InF</w:t>
      </w:r>
      <w:proofErr w:type="spellEnd"/>
      <w:r w:rsidRPr="00F838FC">
        <w:rPr>
          <w:sz w:val="20"/>
          <w:szCs w:val="20"/>
        </w:rPr>
        <w:t xml:space="preserve">-SH and </w:t>
      </w:r>
      <w:proofErr w:type="spellStart"/>
      <w:r w:rsidRPr="00F838FC">
        <w:rPr>
          <w:sz w:val="20"/>
          <w:szCs w:val="20"/>
        </w:rPr>
        <w:t>InF</w:t>
      </w:r>
      <w:proofErr w:type="spellEnd"/>
      <w:r w:rsidRPr="00F838FC">
        <w:rPr>
          <w:sz w:val="20"/>
          <w:szCs w:val="20"/>
        </w:rPr>
        <w:t xml:space="preserve">-DH models in TR 38.901 are adopted as the baseline scenarios for defining the channel models, parameters and modelling techniques for performance evaluations in the Rel. 17 positioning enhancements at least for </w:t>
      </w:r>
      <w:proofErr w:type="spellStart"/>
      <w:r w:rsidRPr="00F838FC">
        <w:rPr>
          <w:sz w:val="20"/>
          <w:szCs w:val="20"/>
        </w:rPr>
        <w:t>IIoT</w:t>
      </w:r>
      <w:proofErr w:type="spellEnd"/>
      <w:r w:rsidRPr="00F838FC">
        <w:rPr>
          <w:sz w:val="20"/>
          <w:szCs w:val="20"/>
        </w:rPr>
        <w:t xml:space="preserve"> use cases</w:t>
      </w:r>
    </w:p>
    <w:p w14:paraId="501893C9" w14:textId="77777777" w:rsidR="00F838FC" w:rsidRPr="00F838FC" w:rsidRDefault="00F838FC" w:rsidP="00F838FC">
      <w:pPr>
        <w:jc w:val="both"/>
        <w:rPr>
          <w:sz w:val="20"/>
          <w:szCs w:val="20"/>
        </w:rPr>
      </w:pPr>
    </w:p>
    <w:p w14:paraId="59EA7224" w14:textId="77777777" w:rsidR="00F838FC" w:rsidRPr="00F838FC" w:rsidRDefault="00F838FC" w:rsidP="00F838FC">
      <w:pPr>
        <w:jc w:val="both"/>
        <w:rPr>
          <w:sz w:val="20"/>
          <w:szCs w:val="20"/>
        </w:rPr>
      </w:pPr>
      <w:r w:rsidRPr="00F838FC">
        <w:rPr>
          <w:sz w:val="20"/>
          <w:szCs w:val="20"/>
          <w:highlight w:val="green"/>
        </w:rPr>
        <w:t>Agreement</w:t>
      </w:r>
      <w:r w:rsidRPr="00F838FC">
        <w:rPr>
          <w:sz w:val="20"/>
          <w:szCs w:val="20"/>
        </w:rPr>
        <w:t>:</w:t>
      </w:r>
    </w:p>
    <w:p w14:paraId="1229AD0B" w14:textId="77777777" w:rsidR="00F838FC" w:rsidRPr="00F838FC" w:rsidRDefault="00F838FC" w:rsidP="00F838FC">
      <w:pPr>
        <w:jc w:val="both"/>
        <w:rPr>
          <w:sz w:val="20"/>
          <w:szCs w:val="20"/>
        </w:rPr>
      </w:pPr>
      <w:r w:rsidRPr="00F838FC">
        <w:rPr>
          <w:sz w:val="20"/>
          <w:szCs w:val="20"/>
        </w:rPr>
        <w:t xml:space="preserve">Clutter parameters {density </w:t>
      </w:r>
      <w:r w:rsidRPr="00F838FC">
        <w:rPr>
          <w:sz w:val="20"/>
          <w:szCs w:val="20"/>
        </w:rPr>
        <w:fldChar w:fldCharType="begin"/>
      </w:r>
      <w:r w:rsidRPr="00F838FC">
        <w:rPr>
          <w:sz w:val="20"/>
          <w:szCs w:val="20"/>
        </w:rPr>
        <w:instrText xml:space="preserve"> QUOTE </w:instrText>
      </w:r>
      <w:r w:rsidR="005274AD">
        <w:rPr>
          <w:noProof/>
          <w:sz w:val="20"/>
          <w:szCs w:val="20"/>
        </w:rPr>
        <w:pict w14:anchorId="0FA68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3.75pt;height:11.25pt;mso-width-percent:0;mso-height-percent:0;mso-width-percent:0;mso-height-percent:0" equationxml="&lt;">
            <v:imagedata r:id="rId8" o:title="" chromakey="white"/>
          </v:shape>
        </w:pict>
      </w:r>
      <w:r w:rsidRPr="00F838FC">
        <w:rPr>
          <w:sz w:val="20"/>
          <w:szCs w:val="20"/>
        </w:rPr>
        <w:instrText xml:space="preserve"> </w:instrText>
      </w:r>
      <w:r w:rsidRPr="00F838FC">
        <w:rPr>
          <w:sz w:val="20"/>
          <w:szCs w:val="20"/>
        </w:rPr>
        <w:fldChar w:fldCharType="separate"/>
      </w:r>
      <w:r w:rsidR="005274AD">
        <w:rPr>
          <w:noProof/>
          <w:sz w:val="20"/>
          <w:szCs w:val="20"/>
        </w:rPr>
        <w:pict w14:anchorId="77CFDDF7">
          <v:shape id="_x0000_i1031" type="#_x0000_t75" alt="" style="width:3.75pt;height:11.25pt;mso-width-percent:0;mso-height-percent:0;mso-width-percent:0;mso-height-percent:0" equationxml="&lt;">
            <v:imagedata r:id="rId8" o:title="" chromakey="white"/>
          </v:shape>
        </w:pict>
      </w:r>
      <w:r w:rsidRPr="00F838FC">
        <w:rPr>
          <w:sz w:val="20"/>
          <w:szCs w:val="20"/>
        </w:rPr>
        <w:fldChar w:fldCharType="end"/>
      </w:r>
      <w:r w:rsidRPr="00F838FC">
        <w:rPr>
          <w:sz w:val="20"/>
          <w:szCs w:val="20"/>
        </w:rPr>
        <w:t xml:space="preserve">, height </w:t>
      </w:r>
      <w:r w:rsidRPr="00F838FC">
        <w:rPr>
          <w:sz w:val="20"/>
          <w:szCs w:val="20"/>
        </w:rPr>
        <w:fldChar w:fldCharType="begin"/>
      </w:r>
      <w:r w:rsidRPr="00F838FC">
        <w:rPr>
          <w:sz w:val="20"/>
          <w:szCs w:val="20"/>
        </w:rPr>
        <w:instrText xml:space="preserve"> QUOTE </w:instrText>
      </w:r>
      <w:r w:rsidR="005274AD">
        <w:rPr>
          <w:noProof/>
          <w:sz w:val="20"/>
          <w:szCs w:val="20"/>
        </w:rPr>
        <w:pict w14:anchorId="50F25AB1">
          <v:shape id="_x0000_i1030" type="#_x0000_t75" alt="" style="width:8.75pt;height:11.25pt;mso-width-percent:0;mso-height-percent:0;mso-width-percent:0;mso-height-percent:0" equationxml="&lt;">
            <v:imagedata r:id="rId9" o:title="" chromakey="white"/>
          </v:shape>
        </w:pict>
      </w:r>
      <w:r w:rsidRPr="00F838FC">
        <w:rPr>
          <w:sz w:val="20"/>
          <w:szCs w:val="20"/>
        </w:rPr>
        <w:instrText xml:space="preserve"> </w:instrText>
      </w:r>
      <w:r w:rsidRPr="00F838FC">
        <w:rPr>
          <w:sz w:val="20"/>
          <w:szCs w:val="20"/>
        </w:rPr>
        <w:fldChar w:fldCharType="separate"/>
      </w:r>
      <w:r w:rsidR="005274AD">
        <w:rPr>
          <w:noProof/>
          <w:sz w:val="20"/>
          <w:szCs w:val="20"/>
        </w:rPr>
        <w:pict w14:anchorId="7001D044">
          <v:shape id="_x0000_i1029" type="#_x0000_t75" alt="" style="width:8.75pt;height:11.25pt;mso-width-percent:0;mso-height-percent:0;mso-width-percent:0;mso-height-percent:0" equationxml="&lt;">
            <v:imagedata r:id="rId9" o:title="" chromakey="white"/>
          </v:shape>
        </w:pict>
      </w:r>
      <w:r w:rsidRPr="00F838FC">
        <w:rPr>
          <w:sz w:val="20"/>
          <w:szCs w:val="20"/>
        </w:rPr>
        <w:fldChar w:fldCharType="end"/>
      </w:r>
      <w:r w:rsidRPr="00F838FC">
        <w:rPr>
          <w:sz w:val="20"/>
          <w:szCs w:val="20"/>
        </w:rPr>
        <w:t xml:space="preserve">,size </w:t>
      </w:r>
      <w:r w:rsidRPr="00F838FC">
        <w:rPr>
          <w:sz w:val="20"/>
          <w:szCs w:val="20"/>
        </w:rPr>
        <w:fldChar w:fldCharType="begin"/>
      </w:r>
      <w:r w:rsidRPr="00F838FC">
        <w:rPr>
          <w:sz w:val="20"/>
          <w:szCs w:val="20"/>
        </w:rPr>
        <w:instrText xml:space="preserve"> QUOTE </w:instrText>
      </w:r>
      <w:r w:rsidR="005274AD">
        <w:rPr>
          <w:noProof/>
          <w:sz w:val="20"/>
          <w:szCs w:val="20"/>
        </w:rPr>
        <w:pict w14:anchorId="5B0BDDC9">
          <v:shape id="_x0000_i1028" type="#_x0000_t75" alt="" style="width:28.8pt;height:11.25pt;mso-width-percent:0;mso-height-percent:0;mso-width-percent:0;mso-height-percent:0" equationxml="&lt;">
            <v:imagedata r:id="rId10" o:title="" chromakey="white"/>
          </v:shape>
        </w:pict>
      </w:r>
      <w:r w:rsidRPr="00F838FC">
        <w:rPr>
          <w:sz w:val="20"/>
          <w:szCs w:val="20"/>
        </w:rPr>
        <w:instrText xml:space="preserve"> </w:instrText>
      </w:r>
      <w:r w:rsidRPr="00F838FC">
        <w:rPr>
          <w:sz w:val="20"/>
          <w:szCs w:val="20"/>
        </w:rPr>
        <w:fldChar w:fldCharType="separate"/>
      </w:r>
      <w:r w:rsidR="005274AD">
        <w:rPr>
          <w:noProof/>
          <w:sz w:val="20"/>
          <w:szCs w:val="20"/>
        </w:rPr>
        <w:pict w14:anchorId="7F9CDDDA">
          <v:shape id="_x0000_i1027" type="#_x0000_t75" alt="" style="width:28.8pt;height:11.25pt;mso-width-percent:0;mso-height-percent:0;mso-width-percent:0;mso-height-percent:0" equationxml="&lt;">
            <v:imagedata r:id="rId10" o:title="" chromakey="white"/>
          </v:shape>
        </w:pict>
      </w:r>
      <w:r w:rsidRPr="00F838FC">
        <w:rPr>
          <w:sz w:val="20"/>
          <w:szCs w:val="20"/>
        </w:rPr>
        <w:fldChar w:fldCharType="end"/>
      </w:r>
      <w:r w:rsidRPr="00F838FC">
        <w:rPr>
          <w:sz w:val="20"/>
          <w:szCs w:val="20"/>
        </w:rPr>
        <w:t xml:space="preserve">}: </w:t>
      </w:r>
    </w:p>
    <w:p w14:paraId="63E029EE" w14:textId="70A1F1D0" w:rsidR="00F838FC" w:rsidRPr="00F838FC" w:rsidRDefault="00F838FC" w:rsidP="00F838FC">
      <w:pPr>
        <w:numPr>
          <w:ilvl w:val="0"/>
          <w:numId w:val="39"/>
        </w:numPr>
        <w:jc w:val="both"/>
        <w:rPr>
          <w:sz w:val="20"/>
          <w:szCs w:val="20"/>
          <w:lang w:val="en-GB"/>
        </w:rPr>
      </w:pPr>
      <w:r w:rsidRPr="00F838FC">
        <w:rPr>
          <w:sz w:val="20"/>
          <w:szCs w:val="20"/>
        </w:rPr>
        <w:t>For Low clutter density: {20%, 2m, 10m}</w:t>
      </w:r>
    </w:p>
    <w:p w14:paraId="29B56C60" w14:textId="77777777" w:rsidR="00F838FC" w:rsidRPr="00F838FC" w:rsidRDefault="00F838FC" w:rsidP="00F838FC">
      <w:pPr>
        <w:numPr>
          <w:ilvl w:val="0"/>
          <w:numId w:val="39"/>
        </w:numPr>
        <w:jc w:val="both"/>
        <w:rPr>
          <w:sz w:val="20"/>
          <w:szCs w:val="20"/>
          <w:lang w:val="en-GB"/>
        </w:rPr>
      </w:pPr>
      <w:r w:rsidRPr="00F838FC">
        <w:rPr>
          <w:sz w:val="20"/>
          <w:szCs w:val="20"/>
        </w:rPr>
        <w:t>for high clutter density are set as follows:</w:t>
      </w:r>
    </w:p>
    <w:p w14:paraId="300B5B58" w14:textId="77777777" w:rsidR="00F838FC" w:rsidRPr="00F838FC" w:rsidRDefault="00F838FC" w:rsidP="00F838FC">
      <w:pPr>
        <w:numPr>
          <w:ilvl w:val="1"/>
          <w:numId w:val="39"/>
        </w:numPr>
        <w:jc w:val="both"/>
        <w:rPr>
          <w:sz w:val="20"/>
          <w:szCs w:val="20"/>
        </w:rPr>
      </w:pPr>
      <w:r w:rsidRPr="00F838FC">
        <w:rPr>
          <w:sz w:val="20"/>
          <w:szCs w:val="20"/>
        </w:rPr>
        <w:t xml:space="preserve">(Baseline): {40%, 2m, 2m} for fixed UE antenna height and </w:t>
      </w:r>
      <w:proofErr w:type="spellStart"/>
      <w:r w:rsidRPr="00F838FC">
        <w:rPr>
          <w:sz w:val="20"/>
          <w:szCs w:val="20"/>
        </w:rPr>
        <w:t>gNB</w:t>
      </w:r>
      <w:proofErr w:type="spellEnd"/>
      <w:r w:rsidRPr="00F838FC">
        <w:rPr>
          <w:sz w:val="20"/>
          <w:szCs w:val="20"/>
        </w:rPr>
        <w:t xml:space="preserve"> antenna height</w:t>
      </w:r>
    </w:p>
    <w:p w14:paraId="3EBC08D9" w14:textId="77777777" w:rsidR="00F838FC" w:rsidRPr="00F838FC" w:rsidRDefault="00F838FC" w:rsidP="00F838FC">
      <w:pPr>
        <w:numPr>
          <w:ilvl w:val="1"/>
          <w:numId w:val="39"/>
        </w:numPr>
        <w:jc w:val="both"/>
        <w:rPr>
          <w:sz w:val="20"/>
          <w:szCs w:val="20"/>
        </w:rPr>
      </w:pPr>
      <w:r w:rsidRPr="00F838FC">
        <w:rPr>
          <w:sz w:val="20"/>
          <w:szCs w:val="20"/>
        </w:rPr>
        <w:t>(Optional): {40%, 3m, 5m}</w:t>
      </w:r>
    </w:p>
    <w:p w14:paraId="4EAC4A6B" w14:textId="77777777" w:rsidR="00F838FC" w:rsidRPr="00F838FC" w:rsidRDefault="00F838FC" w:rsidP="00F838FC">
      <w:pPr>
        <w:numPr>
          <w:ilvl w:val="1"/>
          <w:numId w:val="39"/>
        </w:numPr>
        <w:jc w:val="both"/>
        <w:rPr>
          <w:sz w:val="20"/>
          <w:szCs w:val="20"/>
        </w:rPr>
      </w:pPr>
      <w:r w:rsidRPr="00F838FC">
        <w:rPr>
          <w:sz w:val="20"/>
          <w:szCs w:val="20"/>
        </w:rPr>
        <w:t>(Optional): {60%, 6m, 2m}</w:t>
      </w:r>
    </w:p>
    <w:p w14:paraId="42AFBFB1" w14:textId="77777777" w:rsidR="00F838FC" w:rsidRPr="00F838FC" w:rsidRDefault="00F838FC" w:rsidP="00F838FC">
      <w:pPr>
        <w:jc w:val="both"/>
        <w:rPr>
          <w:sz w:val="20"/>
          <w:szCs w:val="20"/>
        </w:rPr>
      </w:pPr>
      <w:r w:rsidRPr="00F838FC">
        <w:rPr>
          <w:sz w:val="20"/>
          <w:szCs w:val="20"/>
          <w:highlight w:val="green"/>
        </w:rPr>
        <w:t>Agreement</w:t>
      </w:r>
      <w:r w:rsidRPr="00F838FC">
        <w:rPr>
          <w:sz w:val="20"/>
          <w:szCs w:val="20"/>
        </w:rPr>
        <w:t>:</w:t>
      </w:r>
    </w:p>
    <w:p w14:paraId="6B59B474" w14:textId="77777777" w:rsidR="00F838FC" w:rsidRPr="00F838FC" w:rsidRDefault="00F838FC" w:rsidP="00F838FC">
      <w:pPr>
        <w:jc w:val="both"/>
        <w:rPr>
          <w:sz w:val="20"/>
          <w:szCs w:val="20"/>
        </w:rPr>
      </w:pPr>
      <w:r w:rsidRPr="00F838FC">
        <w:rPr>
          <w:sz w:val="20"/>
          <w:szCs w:val="20"/>
        </w:rPr>
        <w:t xml:space="preserve">Optional: For evaluating vertical positioning performance, UE antenna height can be uniformly distributed within [0.5, X2]m, where X2 = 2m for </w:t>
      </w:r>
      <w:proofErr w:type="spellStart"/>
      <w:r w:rsidRPr="00F838FC">
        <w:rPr>
          <w:sz w:val="20"/>
          <w:szCs w:val="20"/>
        </w:rPr>
        <w:t>InF</w:t>
      </w:r>
      <w:proofErr w:type="spellEnd"/>
      <w:r w:rsidRPr="00F838FC">
        <w:rPr>
          <w:sz w:val="20"/>
          <w:szCs w:val="20"/>
        </w:rPr>
        <w:t>-SH and X2=</w:t>
      </w:r>
      <w:r w:rsidRPr="00F838FC">
        <w:rPr>
          <w:sz w:val="20"/>
          <w:szCs w:val="20"/>
        </w:rPr>
        <w:fldChar w:fldCharType="begin"/>
      </w:r>
      <w:r w:rsidRPr="00F838FC">
        <w:rPr>
          <w:sz w:val="20"/>
          <w:szCs w:val="20"/>
        </w:rPr>
        <w:instrText xml:space="preserve"> QUOTE </w:instrText>
      </w:r>
      <w:r w:rsidR="005274AD">
        <w:rPr>
          <w:noProof/>
          <w:sz w:val="20"/>
          <w:szCs w:val="20"/>
        </w:rPr>
        <w:pict w14:anchorId="2747F4B7">
          <v:shape id="_x0000_i1026" type="#_x0000_t75" alt="" style="width:8.15pt;height:10pt;mso-width-percent:0;mso-height-percent:0;mso-width-percent:0;mso-height-percent:0" equationxml="&lt;">
            <v:imagedata r:id="rId11" o:title="" chromakey="white"/>
          </v:shape>
        </w:pict>
      </w:r>
      <w:r w:rsidRPr="00F838FC">
        <w:rPr>
          <w:sz w:val="20"/>
          <w:szCs w:val="20"/>
        </w:rPr>
        <w:instrText xml:space="preserve"> </w:instrText>
      </w:r>
      <w:r w:rsidRPr="00F838FC">
        <w:rPr>
          <w:sz w:val="20"/>
          <w:szCs w:val="20"/>
        </w:rPr>
        <w:fldChar w:fldCharType="separate"/>
      </w:r>
      <w:r w:rsidR="005274AD">
        <w:rPr>
          <w:noProof/>
          <w:sz w:val="20"/>
          <w:szCs w:val="20"/>
        </w:rPr>
        <w:pict w14:anchorId="748D8B4C">
          <v:shape id="_x0000_i1025" type="#_x0000_t75" alt="" style="width:8.15pt;height:10pt;mso-width-percent:0;mso-height-percent:0;mso-width-percent:0;mso-height-percent:0" equationxml="&lt;">
            <v:imagedata r:id="rId11" o:title="" chromakey="white"/>
          </v:shape>
        </w:pict>
      </w:r>
      <w:r w:rsidRPr="00F838FC">
        <w:rPr>
          <w:sz w:val="20"/>
          <w:szCs w:val="20"/>
        </w:rPr>
        <w:fldChar w:fldCharType="end"/>
      </w:r>
      <w:r w:rsidRPr="00F838FC">
        <w:rPr>
          <w:sz w:val="20"/>
          <w:szCs w:val="20"/>
        </w:rPr>
        <w:t xml:space="preserve"> for </w:t>
      </w:r>
      <w:proofErr w:type="spellStart"/>
      <w:r w:rsidRPr="00F838FC">
        <w:rPr>
          <w:sz w:val="20"/>
          <w:szCs w:val="20"/>
        </w:rPr>
        <w:t>InF</w:t>
      </w:r>
      <w:proofErr w:type="spellEnd"/>
      <w:r w:rsidRPr="00F838FC">
        <w:rPr>
          <w:sz w:val="20"/>
          <w:szCs w:val="20"/>
        </w:rPr>
        <w:t>-DH defined in TR 38.901.</w:t>
      </w:r>
    </w:p>
    <w:p w14:paraId="6B6CA718" w14:textId="77777777" w:rsidR="00F838FC" w:rsidRPr="00F838FC" w:rsidRDefault="00F838FC" w:rsidP="00F838FC">
      <w:pPr>
        <w:jc w:val="both"/>
        <w:rPr>
          <w:sz w:val="20"/>
          <w:szCs w:val="20"/>
        </w:rPr>
      </w:pPr>
    </w:p>
    <w:p w14:paraId="43BE71CD" w14:textId="77777777" w:rsidR="00087118" w:rsidRPr="00087118" w:rsidRDefault="00087118" w:rsidP="00087118">
      <w:pPr>
        <w:jc w:val="both"/>
        <w:rPr>
          <w:sz w:val="20"/>
          <w:szCs w:val="20"/>
        </w:rPr>
      </w:pPr>
      <w:r w:rsidRPr="00087118">
        <w:rPr>
          <w:sz w:val="20"/>
          <w:szCs w:val="20"/>
        </w:rPr>
        <w:t xml:space="preserve">In this contribution, </w:t>
      </w:r>
      <w:r w:rsidRPr="00087118">
        <w:rPr>
          <w:sz w:val="20"/>
          <w:szCs w:val="20"/>
          <w:lang w:val="en-GB"/>
        </w:rPr>
        <w:t xml:space="preserve">we present our views and analysis on physical layer latency for positioning based on Rel-16 signalling procedures and specifications.  </w:t>
      </w:r>
    </w:p>
    <w:p w14:paraId="660BB01F" w14:textId="69708DE5" w:rsidR="002D4105" w:rsidRDefault="002D4105" w:rsidP="000D07AC">
      <w:pPr>
        <w:jc w:val="both"/>
        <w:rPr>
          <w:sz w:val="20"/>
          <w:szCs w:val="20"/>
        </w:rPr>
      </w:pPr>
    </w:p>
    <w:p w14:paraId="1E0074F7" w14:textId="77777777" w:rsidR="002D4105" w:rsidRDefault="002D4105" w:rsidP="000D07AC">
      <w:pPr>
        <w:jc w:val="both"/>
        <w:rPr>
          <w:sz w:val="20"/>
          <w:szCs w:val="20"/>
        </w:rPr>
      </w:pPr>
    </w:p>
    <w:p w14:paraId="7F8DC9DD" w14:textId="3CE08AA9" w:rsidR="0029521C" w:rsidRDefault="0029521C" w:rsidP="0029521C">
      <w:pPr>
        <w:pStyle w:val="Heading1"/>
      </w:pPr>
      <w:r>
        <w:t xml:space="preserve">Physical Layer Latency Analysis </w:t>
      </w:r>
    </w:p>
    <w:p w14:paraId="48B585F1" w14:textId="2A4DA3B3" w:rsidR="0029521C" w:rsidRDefault="0029521C" w:rsidP="0029521C">
      <w:pPr>
        <w:pStyle w:val="Heading2"/>
        <w:tabs>
          <w:tab w:val="clear" w:pos="576"/>
          <w:tab w:val="num" w:pos="567"/>
        </w:tabs>
        <w:ind w:left="567" w:hanging="567"/>
      </w:pPr>
      <w:r>
        <w:t>L1 Latency Analysis for DL Positioning</w:t>
      </w:r>
    </w:p>
    <w:p w14:paraId="0AC78C4D" w14:textId="77777777" w:rsidR="0029521C" w:rsidRPr="0029521C" w:rsidRDefault="0029521C" w:rsidP="0029521C">
      <w:pPr>
        <w:rPr>
          <w:lang w:eastAsia="zh-CN"/>
        </w:rPr>
      </w:pPr>
    </w:p>
    <w:p w14:paraId="4676F03F" w14:textId="2330F807" w:rsidR="0029521C" w:rsidRDefault="0029521C" w:rsidP="0029521C">
      <w:pPr>
        <w:jc w:val="both"/>
        <w:rPr>
          <w:sz w:val="20"/>
          <w:szCs w:val="20"/>
          <w:lang w:eastAsia="zh-CN"/>
        </w:rPr>
      </w:pPr>
      <w:r w:rsidRPr="0029521C">
        <w:rPr>
          <w:sz w:val="20"/>
          <w:szCs w:val="20"/>
          <w:lang w:val="en-GB" w:eastAsia="zh-CN"/>
        </w:rPr>
        <w:t xml:space="preserve">In [2], it is mentioned that the target latency requirement for Rel-17 positioning SI is less than 100 </w:t>
      </w:r>
      <w:proofErr w:type="spellStart"/>
      <w:r w:rsidRPr="0029521C">
        <w:rPr>
          <w:sz w:val="20"/>
          <w:szCs w:val="20"/>
          <w:lang w:val="en-GB" w:eastAsia="zh-CN"/>
        </w:rPr>
        <w:t>ms</w:t>
      </w:r>
      <w:proofErr w:type="spellEnd"/>
      <w:r w:rsidRPr="0029521C">
        <w:rPr>
          <w:sz w:val="20"/>
          <w:szCs w:val="20"/>
          <w:lang w:val="en-GB" w:eastAsia="zh-CN"/>
        </w:rPr>
        <w:t xml:space="preserve">; and for some </w:t>
      </w:r>
      <w:proofErr w:type="spellStart"/>
      <w:r w:rsidRPr="0029521C">
        <w:rPr>
          <w:sz w:val="20"/>
          <w:szCs w:val="20"/>
          <w:lang w:val="en-GB" w:eastAsia="zh-CN"/>
        </w:rPr>
        <w:t>IIoT</w:t>
      </w:r>
      <w:proofErr w:type="spellEnd"/>
      <w:r w:rsidRPr="0029521C">
        <w:rPr>
          <w:sz w:val="20"/>
          <w:szCs w:val="20"/>
          <w:lang w:val="en-GB" w:eastAsia="zh-CN"/>
        </w:rPr>
        <w:t xml:space="preserve"> use cases, latency in the order of 10 </w:t>
      </w:r>
      <w:proofErr w:type="spellStart"/>
      <w:r w:rsidRPr="0029521C">
        <w:rPr>
          <w:sz w:val="20"/>
          <w:szCs w:val="20"/>
          <w:lang w:val="en-GB" w:eastAsia="zh-CN"/>
        </w:rPr>
        <w:t>ms</w:t>
      </w:r>
      <w:proofErr w:type="spellEnd"/>
      <w:r w:rsidRPr="0029521C">
        <w:rPr>
          <w:sz w:val="20"/>
          <w:szCs w:val="20"/>
          <w:lang w:val="en-GB" w:eastAsia="zh-CN"/>
        </w:rPr>
        <w:t xml:space="preserve"> is desired. In RAN1#101-e, as mentioned above, the latency was breakdown for both commercial and </w:t>
      </w:r>
      <w:proofErr w:type="spellStart"/>
      <w:r w:rsidRPr="0029521C">
        <w:rPr>
          <w:sz w:val="20"/>
          <w:szCs w:val="20"/>
          <w:lang w:val="en-GB" w:eastAsia="zh-CN"/>
        </w:rPr>
        <w:t>IIoT</w:t>
      </w:r>
      <w:proofErr w:type="spellEnd"/>
      <w:r w:rsidRPr="0029521C">
        <w:rPr>
          <w:sz w:val="20"/>
          <w:szCs w:val="20"/>
          <w:lang w:val="en-GB" w:eastAsia="zh-CN"/>
        </w:rPr>
        <w:t xml:space="preserve"> use-cases, where it was agreed as FFS that the </w:t>
      </w:r>
      <w:r w:rsidRPr="0029521C">
        <w:rPr>
          <w:sz w:val="20"/>
          <w:szCs w:val="20"/>
          <w:lang w:eastAsia="zh-CN"/>
        </w:rPr>
        <w:t xml:space="preserve">physical layer latency for position estimation of UE to be &lt; [10ms]. Given that for some </w:t>
      </w:r>
      <w:proofErr w:type="spellStart"/>
      <w:r w:rsidRPr="0029521C">
        <w:rPr>
          <w:sz w:val="20"/>
          <w:szCs w:val="20"/>
          <w:lang w:eastAsia="zh-CN"/>
        </w:rPr>
        <w:t>IIoT</w:t>
      </w:r>
      <w:proofErr w:type="spellEnd"/>
      <w:r w:rsidRPr="0029521C">
        <w:rPr>
          <w:sz w:val="20"/>
          <w:szCs w:val="20"/>
          <w:lang w:eastAsia="zh-CN"/>
        </w:rPr>
        <w:t xml:space="preserve"> use-cases the end-to-end latency for position estimation can be in the order of 20ms or even 10ms, we note that at least for such </w:t>
      </w:r>
      <w:proofErr w:type="spellStart"/>
      <w:r w:rsidRPr="0029521C">
        <w:rPr>
          <w:sz w:val="20"/>
          <w:szCs w:val="20"/>
          <w:lang w:eastAsia="zh-CN"/>
        </w:rPr>
        <w:t>IIoT</w:t>
      </w:r>
      <w:proofErr w:type="spellEnd"/>
      <w:r w:rsidRPr="0029521C">
        <w:rPr>
          <w:sz w:val="20"/>
          <w:szCs w:val="20"/>
          <w:lang w:eastAsia="zh-CN"/>
        </w:rPr>
        <w:t xml:space="preserve"> use-cases, L1 latency should be in the order of few </w:t>
      </w:r>
      <w:proofErr w:type="spellStart"/>
      <w:r w:rsidRPr="0029521C">
        <w:rPr>
          <w:sz w:val="20"/>
          <w:szCs w:val="20"/>
          <w:lang w:eastAsia="zh-CN"/>
        </w:rPr>
        <w:t>ms.</w:t>
      </w:r>
      <w:proofErr w:type="spellEnd"/>
      <w:r w:rsidRPr="0029521C">
        <w:rPr>
          <w:sz w:val="20"/>
          <w:szCs w:val="20"/>
          <w:lang w:eastAsia="zh-CN"/>
        </w:rPr>
        <w:t xml:space="preserve"> </w:t>
      </w:r>
    </w:p>
    <w:p w14:paraId="28A7F312" w14:textId="77777777" w:rsidR="0029521C" w:rsidRPr="0029521C" w:rsidRDefault="0029521C" w:rsidP="0029521C">
      <w:pPr>
        <w:jc w:val="both"/>
        <w:rPr>
          <w:sz w:val="20"/>
          <w:szCs w:val="20"/>
          <w:lang w:eastAsia="zh-CN"/>
        </w:rPr>
      </w:pPr>
    </w:p>
    <w:p w14:paraId="5BEB79FA" w14:textId="3CF9D8A5" w:rsidR="0029521C" w:rsidRDefault="0029521C" w:rsidP="0029521C">
      <w:pPr>
        <w:jc w:val="both"/>
        <w:rPr>
          <w:sz w:val="20"/>
          <w:szCs w:val="20"/>
          <w:lang w:eastAsia="zh-CN"/>
        </w:rPr>
      </w:pPr>
      <w:r w:rsidRPr="0029521C">
        <w:rPr>
          <w:sz w:val="20"/>
          <w:szCs w:val="20"/>
          <w:lang w:eastAsia="zh-CN"/>
        </w:rPr>
        <w:t>In the following, we evaluate the achievable L1 latency for position estimation based on Rel-16 specifications. The focus of this latency analysis is on DL UE positioning, for which the components of the physical layer latency include UE positioning measurements, processing and reporting. We assume that the UE is already in connected mode. Table-1 summarizes our evaluation assumptions for the following analysis.</w:t>
      </w:r>
    </w:p>
    <w:p w14:paraId="57F8FD78" w14:textId="77777777" w:rsidR="0029521C" w:rsidRPr="0029521C" w:rsidRDefault="0029521C" w:rsidP="0029521C">
      <w:pPr>
        <w:jc w:val="both"/>
        <w:rPr>
          <w:sz w:val="20"/>
          <w:szCs w:val="20"/>
          <w:lang w:eastAsia="zh-CN"/>
        </w:rPr>
      </w:pPr>
    </w:p>
    <w:p w14:paraId="247F65F3" w14:textId="3EA582E1" w:rsidR="0029521C" w:rsidRDefault="0029521C" w:rsidP="00F838FC">
      <w:pPr>
        <w:jc w:val="both"/>
        <w:rPr>
          <w:sz w:val="20"/>
          <w:szCs w:val="20"/>
          <w:lang w:eastAsia="zh-CN"/>
        </w:rPr>
      </w:pPr>
    </w:p>
    <w:p w14:paraId="4494B206" w14:textId="77777777" w:rsidR="0029521C" w:rsidRDefault="0029521C" w:rsidP="0029521C">
      <w:pPr>
        <w:jc w:val="center"/>
      </w:pPr>
      <w:r>
        <w:t>Table 1. Parameter Assumptions</w:t>
      </w:r>
    </w:p>
    <w:tbl>
      <w:tblPr>
        <w:tblStyle w:val="TableGrid"/>
        <w:tblW w:w="0" w:type="auto"/>
        <w:jc w:val="center"/>
        <w:tblLook w:val="04A0" w:firstRow="1" w:lastRow="0" w:firstColumn="1" w:lastColumn="0" w:noHBand="0" w:noVBand="1"/>
      </w:tblPr>
      <w:tblGrid>
        <w:gridCol w:w="4135"/>
        <w:gridCol w:w="1440"/>
      </w:tblGrid>
      <w:tr w:rsidR="0029521C" w14:paraId="29FAA5BC" w14:textId="77777777" w:rsidTr="005A3BA1">
        <w:trPr>
          <w:jc w:val="center"/>
        </w:trPr>
        <w:tc>
          <w:tcPr>
            <w:tcW w:w="4135" w:type="dxa"/>
            <w:shd w:val="clear" w:color="auto" w:fill="FFC000"/>
          </w:tcPr>
          <w:p w14:paraId="177E5DBC" w14:textId="77777777" w:rsidR="0029521C" w:rsidRDefault="0029521C" w:rsidP="002D45D0">
            <w:pPr>
              <w:jc w:val="center"/>
            </w:pPr>
            <w:r>
              <w:t>parameter</w:t>
            </w:r>
          </w:p>
        </w:tc>
        <w:tc>
          <w:tcPr>
            <w:tcW w:w="1440" w:type="dxa"/>
            <w:shd w:val="clear" w:color="auto" w:fill="FFC000"/>
          </w:tcPr>
          <w:p w14:paraId="65DEA8B2" w14:textId="77777777" w:rsidR="0029521C" w:rsidRDefault="0029521C" w:rsidP="002D45D0">
            <w:r>
              <w:t>value</w:t>
            </w:r>
          </w:p>
        </w:tc>
      </w:tr>
      <w:tr w:rsidR="0029521C" w14:paraId="6622EAFA" w14:textId="77777777" w:rsidTr="005A3BA1">
        <w:trPr>
          <w:jc w:val="center"/>
        </w:trPr>
        <w:tc>
          <w:tcPr>
            <w:tcW w:w="4135" w:type="dxa"/>
            <w:vAlign w:val="center"/>
          </w:tcPr>
          <w:p w14:paraId="0FB4D473" w14:textId="77777777" w:rsidR="0029521C" w:rsidRDefault="0029521C" w:rsidP="002D45D0">
            <w:r w:rsidRPr="00761189">
              <w:rPr>
                <w:sz w:val="18"/>
                <w:szCs w:val="18"/>
                <w:lang w:eastAsia="zh-CN"/>
              </w:rPr>
              <w:t>Num</w:t>
            </w:r>
            <w:r>
              <w:rPr>
                <w:sz w:val="18"/>
                <w:szCs w:val="18"/>
                <w:lang w:eastAsia="zh-CN"/>
              </w:rPr>
              <w:t>ber</w:t>
            </w:r>
            <w:r w:rsidRPr="00761189">
              <w:rPr>
                <w:sz w:val="18"/>
                <w:szCs w:val="18"/>
                <w:lang w:eastAsia="zh-CN"/>
              </w:rPr>
              <w:t xml:space="preserve"> of Positioning Frequency Layers</w:t>
            </w:r>
            <w:r>
              <w:rPr>
                <w:sz w:val="18"/>
                <w:szCs w:val="18"/>
                <w:lang w:eastAsia="zh-CN"/>
              </w:rPr>
              <w:t xml:space="preserve"> (PFL)</w:t>
            </w:r>
          </w:p>
        </w:tc>
        <w:tc>
          <w:tcPr>
            <w:tcW w:w="1440" w:type="dxa"/>
            <w:vAlign w:val="center"/>
          </w:tcPr>
          <w:p w14:paraId="2746E744" w14:textId="77777777" w:rsidR="0029521C" w:rsidRDefault="0029521C" w:rsidP="002D45D0">
            <w:r w:rsidRPr="00761189">
              <w:rPr>
                <w:sz w:val="18"/>
                <w:szCs w:val="18"/>
                <w:lang w:eastAsia="zh-CN"/>
              </w:rPr>
              <w:t>1</w:t>
            </w:r>
          </w:p>
        </w:tc>
      </w:tr>
      <w:tr w:rsidR="0029521C" w14:paraId="393972BA" w14:textId="77777777" w:rsidTr="005A3BA1">
        <w:trPr>
          <w:jc w:val="center"/>
        </w:trPr>
        <w:tc>
          <w:tcPr>
            <w:tcW w:w="4135" w:type="dxa"/>
            <w:vAlign w:val="center"/>
          </w:tcPr>
          <w:p w14:paraId="649D5967" w14:textId="77777777" w:rsidR="0029521C" w:rsidRDefault="0029521C" w:rsidP="002D45D0">
            <w:r>
              <w:rPr>
                <w:sz w:val="18"/>
                <w:szCs w:val="18"/>
                <w:lang w:eastAsia="zh-CN"/>
              </w:rPr>
              <w:t xml:space="preserve">Number of </w:t>
            </w:r>
            <w:r w:rsidRPr="00761189">
              <w:rPr>
                <w:sz w:val="18"/>
                <w:szCs w:val="18"/>
                <w:lang w:eastAsia="zh-CN"/>
              </w:rPr>
              <w:t>T</w:t>
            </w:r>
            <w:r>
              <w:rPr>
                <w:sz w:val="18"/>
                <w:szCs w:val="18"/>
                <w:lang w:eastAsia="zh-CN"/>
              </w:rPr>
              <w:t>RPs per PFL</w:t>
            </w:r>
          </w:p>
        </w:tc>
        <w:tc>
          <w:tcPr>
            <w:tcW w:w="1440" w:type="dxa"/>
            <w:vAlign w:val="center"/>
          </w:tcPr>
          <w:p w14:paraId="037BA36E" w14:textId="77777777" w:rsidR="0029521C" w:rsidRDefault="0029521C" w:rsidP="002D45D0">
            <w:r w:rsidRPr="00761189">
              <w:rPr>
                <w:sz w:val="18"/>
                <w:szCs w:val="18"/>
                <w:lang w:eastAsia="zh-CN"/>
              </w:rPr>
              <w:t>18 (under FR1 assumption)</w:t>
            </w:r>
          </w:p>
        </w:tc>
      </w:tr>
      <w:tr w:rsidR="0029521C" w14:paraId="17871D1E" w14:textId="77777777" w:rsidTr="005A3BA1">
        <w:trPr>
          <w:jc w:val="center"/>
        </w:trPr>
        <w:tc>
          <w:tcPr>
            <w:tcW w:w="4135" w:type="dxa"/>
            <w:vAlign w:val="center"/>
          </w:tcPr>
          <w:p w14:paraId="6BF31326" w14:textId="77777777" w:rsidR="0029521C" w:rsidRDefault="0029521C" w:rsidP="002D45D0">
            <w:r>
              <w:rPr>
                <w:sz w:val="18"/>
                <w:szCs w:val="18"/>
                <w:lang w:eastAsia="zh-CN"/>
              </w:rPr>
              <w:t>Number</w:t>
            </w:r>
            <w:r w:rsidRPr="00761189">
              <w:rPr>
                <w:sz w:val="18"/>
                <w:szCs w:val="18"/>
                <w:lang w:eastAsia="zh-CN"/>
              </w:rPr>
              <w:t xml:space="preserve"> of DL PRS Resource Sets per TRP per </w:t>
            </w:r>
            <w:r>
              <w:rPr>
                <w:sz w:val="18"/>
                <w:szCs w:val="18"/>
                <w:lang w:eastAsia="zh-CN"/>
              </w:rPr>
              <w:t>PFL</w:t>
            </w:r>
          </w:p>
        </w:tc>
        <w:tc>
          <w:tcPr>
            <w:tcW w:w="1440" w:type="dxa"/>
            <w:vAlign w:val="center"/>
          </w:tcPr>
          <w:p w14:paraId="673280E1" w14:textId="77777777" w:rsidR="0029521C" w:rsidRDefault="0029521C" w:rsidP="002D45D0">
            <w:r w:rsidRPr="00761189">
              <w:rPr>
                <w:sz w:val="18"/>
                <w:szCs w:val="18"/>
                <w:lang w:eastAsia="zh-CN"/>
              </w:rPr>
              <w:t>1</w:t>
            </w:r>
          </w:p>
        </w:tc>
      </w:tr>
      <w:tr w:rsidR="0029521C" w14:paraId="3A7072B8" w14:textId="77777777" w:rsidTr="005A3BA1">
        <w:trPr>
          <w:jc w:val="center"/>
        </w:trPr>
        <w:tc>
          <w:tcPr>
            <w:tcW w:w="4135" w:type="dxa"/>
            <w:vAlign w:val="center"/>
          </w:tcPr>
          <w:p w14:paraId="3574D886" w14:textId="77777777" w:rsidR="0029521C" w:rsidRDefault="0029521C" w:rsidP="002D45D0">
            <w:r>
              <w:rPr>
                <w:sz w:val="18"/>
                <w:szCs w:val="18"/>
                <w:lang w:eastAsia="zh-CN"/>
              </w:rPr>
              <w:t>Number of DL PRS Resources per PRS Resource Set</w:t>
            </w:r>
          </w:p>
        </w:tc>
        <w:tc>
          <w:tcPr>
            <w:tcW w:w="1440" w:type="dxa"/>
            <w:vAlign w:val="center"/>
          </w:tcPr>
          <w:p w14:paraId="5EA3513D" w14:textId="77777777" w:rsidR="0029521C" w:rsidRDefault="0029521C" w:rsidP="002D45D0">
            <w:r w:rsidRPr="00761189">
              <w:rPr>
                <w:sz w:val="18"/>
                <w:szCs w:val="18"/>
                <w:lang w:eastAsia="zh-CN"/>
              </w:rPr>
              <w:t>18</w:t>
            </w:r>
          </w:p>
        </w:tc>
      </w:tr>
      <w:tr w:rsidR="0029521C" w14:paraId="52AB977C" w14:textId="77777777" w:rsidTr="005A3BA1">
        <w:trPr>
          <w:jc w:val="center"/>
        </w:trPr>
        <w:tc>
          <w:tcPr>
            <w:tcW w:w="4135" w:type="dxa"/>
            <w:vAlign w:val="center"/>
          </w:tcPr>
          <w:p w14:paraId="06EDC35B" w14:textId="77777777" w:rsidR="0029521C" w:rsidRPr="00EB03DF" w:rsidRDefault="005274AD" w:rsidP="002D45D0">
            <m:oMathPara>
              <m:oMathParaPr>
                <m:jc m:val="left"/>
              </m:oMathParaPr>
              <m:oMath>
                <m:d>
                  <m:dPr>
                    <m:begChr m:val="{"/>
                    <m:endChr m:val="}"/>
                    <m:ctrlPr>
                      <w:rPr>
                        <w:rFonts w:ascii="Cambria Math" w:hAnsi="Cambria Math"/>
                        <w:i/>
                        <w:sz w:val="18"/>
                        <w:szCs w:val="18"/>
                        <w:lang w:val="en-GB" w:eastAsia="zh-CN"/>
                      </w:rPr>
                    </m:ctrlPr>
                  </m:dPr>
                  <m:e>
                    <m:sSub>
                      <m:sSubPr>
                        <m:ctrlPr>
                          <w:rPr>
                            <w:rFonts w:ascii="Cambria Math" w:hAnsi="Cambria Math"/>
                            <w:i/>
                            <w:sz w:val="18"/>
                            <w:szCs w:val="18"/>
                            <w:lang w:val="en-GB" w:eastAsia="zh-CN"/>
                          </w:rPr>
                        </m:ctrlPr>
                      </m:sSubPr>
                      <m:e>
                        <m:r>
                          <w:rPr>
                            <w:rFonts w:ascii="Cambria Math" w:hAnsi="Cambria Math"/>
                            <w:sz w:val="18"/>
                            <w:szCs w:val="18"/>
                            <w:lang w:val="en-GB" w:eastAsia="zh-CN"/>
                          </w:rPr>
                          <m:t>L</m:t>
                        </m:r>
                      </m:e>
                      <m:sub>
                        <m:r>
                          <m:rPr>
                            <m:nor/>
                          </m:rPr>
                          <w:rPr>
                            <w:i/>
                            <w:sz w:val="18"/>
                            <w:szCs w:val="18"/>
                            <w:lang w:val="en-GB" w:eastAsia="zh-CN"/>
                          </w:rPr>
                          <m:t>PRS</m:t>
                        </m:r>
                      </m:sub>
                    </m:sSub>
                    <m:r>
                      <w:rPr>
                        <w:rFonts w:ascii="Cambria Math" w:hAnsi="Cambria Math"/>
                        <w:sz w:val="18"/>
                        <w:szCs w:val="18"/>
                        <w:lang w:val="en-GB" w:eastAsia="zh-CN"/>
                      </w:rPr>
                      <m:t>,</m:t>
                    </m:r>
                    <m:sSubSup>
                      <m:sSubSupPr>
                        <m:ctrlPr>
                          <w:rPr>
                            <w:rFonts w:ascii="Cambria Math" w:hAnsi="Cambria Math"/>
                            <w:i/>
                            <w:sz w:val="18"/>
                            <w:szCs w:val="18"/>
                            <w:lang w:val="en-GB" w:eastAsia="zh-CN"/>
                          </w:rPr>
                        </m:ctrlPr>
                      </m:sSubSupPr>
                      <m:e>
                        <m:r>
                          <w:rPr>
                            <w:rFonts w:ascii="Cambria Math" w:hAnsi="Cambria Math"/>
                            <w:sz w:val="18"/>
                            <w:szCs w:val="18"/>
                            <w:lang w:val="en-GB" w:eastAsia="zh-CN"/>
                          </w:rPr>
                          <m:t>K</m:t>
                        </m:r>
                      </m:e>
                      <m:sub>
                        <m:r>
                          <m:rPr>
                            <m:nor/>
                          </m:rPr>
                          <w:rPr>
                            <w:i/>
                            <w:sz w:val="18"/>
                            <w:szCs w:val="18"/>
                            <w:lang w:eastAsia="zh-CN"/>
                          </w:rPr>
                          <m:t>comb</m:t>
                        </m:r>
                      </m:sub>
                      <m:sup>
                        <m:r>
                          <m:rPr>
                            <m:nor/>
                          </m:rPr>
                          <w:rPr>
                            <w:i/>
                            <w:sz w:val="18"/>
                            <w:szCs w:val="18"/>
                            <w:lang w:eastAsia="zh-CN"/>
                          </w:rPr>
                          <m:t>PRS</m:t>
                        </m:r>
                      </m:sup>
                    </m:sSubSup>
                  </m:e>
                </m:d>
              </m:oMath>
            </m:oMathPara>
          </w:p>
        </w:tc>
        <w:tc>
          <w:tcPr>
            <w:tcW w:w="1440" w:type="dxa"/>
            <w:vAlign w:val="center"/>
          </w:tcPr>
          <w:p w14:paraId="6A6C2A9C" w14:textId="77777777" w:rsidR="0029521C" w:rsidRDefault="0029521C" w:rsidP="002D45D0">
            <w:r>
              <w:rPr>
                <w:sz w:val="18"/>
                <w:szCs w:val="18"/>
                <w:lang w:eastAsia="zh-CN"/>
              </w:rPr>
              <w:t>{2, 2}, or {6, 6}</w:t>
            </w:r>
          </w:p>
        </w:tc>
      </w:tr>
      <w:tr w:rsidR="0029521C" w14:paraId="5416CB27" w14:textId="77777777" w:rsidTr="005A3BA1">
        <w:trPr>
          <w:jc w:val="center"/>
        </w:trPr>
        <w:tc>
          <w:tcPr>
            <w:tcW w:w="4135" w:type="dxa"/>
            <w:vAlign w:val="center"/>
          </w:tcPr>
          <w:p w14:paraId="1BDF50B5" w14:textId="77777777" w:rsidR="0029521C" w:rsidRDefault="0029521C" w:rsidP="002D45D0">
            <w:r>
              <w:rPr>
                <w:iCs/>
                <w:sz w:val="18"/>
                <w:szCs w:val="18"/>
                <w:lang w:val="en-GB" w:eastAsia="zh-CN"/>
              </w:rPr>
              <w:t>PRS SCS</w:t>
            </w:r>
          </w:p>
        </w:tc>
        <w:tc>
          <w:tcPr>
            <w:tcW w:w="1440" w:type="dxa"/>
            <w:vAlign w:val="center"/>
          </w:tcPr>
          <w:p w14:paraId="6127EF5E" w14:textId="77777777" w:rsidR="0029521C" w:rsidRDefault="0029521C" w:rsidP="002D45D0">
            <w:r>
              <w:rPr>
                <w:sz w:val="18"/>
                <w:szCs w:val="18"/>
                <w:lang w:eastAsia="zh-CN"/>
              </w:rPr>
              <w:t>30kHz</w:t>
            </w:r>
          </w:p>
        </w:tc>
      </w:tr>
    </w:tbl>
    <w:p w14:paraId="6E9AD2C5" w14:textId="77777777" w:rsidR="0029521C" w:rsidRDefault="0029521C" w:rsidP="00F838FC">
      <w:pPr>
        <w:jc w:val="both"/>
        <w:rPr>
          <w:sz w:val="20"/>
          <w:szCs w:val="20"/>
          <w:lang w:eastAsia="zh-CN"/>
        </w:rPr>
      </w:pPr>
    </w:p>
    <w:p w14:paraId="738B4123" w14:textId="591C2E86" w:rsidR="00E56BC9" w:rsidRDefault="00E56BC9" w:rsidP="00A65A3E">
      <w:pPr>
        <w:jc w:val="both"/>
        <w:rPr>
          <w:sz w:val="20"/>
          <w:szCs w:val="20"/>
          <w:lang w:eastAsia="zh-CN"/>
        </w:rPr>
      </w:pPr>
    </w:p>
    <w:p w14:paraId="3922662E" w14:textId="3CDA3CCD" w:rsidR="0029521C" w:rsidRDefault="0029521C" w:rsidP="0029521C">
      <w:pPr>
        <w:pStyle w:val="Heading3"/>
      </w:pPr>
      <w:r w:rsidRPr="0029521C">
        <w:lastRenderedPageBreak/>
        <w:t>UE positioning measurements and processing</w:t>
      </w:r>
    </w:p>
    <w:p w14:paraId="19FEE318" w14:textId="73F8ED93" w:rsidR="0029521C" w:rsidRDefault="0029521C" w:rsidP="0029521C">
      <w:pPr>
        <w:jc w:val="both"/>
        <w:rPr>
          <w:sz w:val="20"/>
          <w:szCs w:val="20"/>
          <w:lang w:eastAsia="zh-CN"/>
        </w:rPr>
      </w:pPr>
      <w:r w:rsidRPr="0029521C">
        <w:rPr>
          <w:sz w:val="20"/>
          <w:szCs w:val="20"/>
          <w:lang w:eastAsia="zh-CN"/>
        </w:rPr>
        <w:t xml:space="preserve">Following the base station deployment model for the indoor factory scenario given by [3], we assume 18 TRPs, and single PRS transmission from each TRP. Thus, UE would need to receive and process 18 DL-PRS resources. We also assume that </w:t>
      </w:r>
      <w:r w:rsidRPr="0029521C">
        <w:rPr>
          <w:sz w:val="20"/>
          <w:szCs w:val="20"/>
          <w:lang w:val="en-GB" w:eastAsia="zh-CN"/>
        </w:rPr>
        <w:t xml:space="preserve">the slot offset </w:t>
      </w:r>
      <m:oMath>
        <m:sSubSup>
          <m:sSubSupPr>
            <m:ctrlPr>
              <w:rPr>
                <w:rFonts w:ascii="Cambria Math" w:hAnsi="Cambria Math"/>
                <w:i/>
                <w:sz w:val="20"/>
                <w:szCs w:val="20"/>
                <w:lang w:val="en-GB" w:eastAsia="zh-CN"/>
              </w:rPr>
            </m:ctrlPr>
          </m:sSubSupPr>
          <m:e>
            <m:r>
              <w:rPr>
                <w:rFonts w:ascii="Cambria Math" w:hAnsi="Cambria Math"/>
                <w:sz w:val="20"/>
                <w:szCs w:val="20"/>
                <w:lang w:val="en-GB" w:eastAsia="zh-CN"/>
              </w:rPr>
              <m:t>T</m:t>
            </m:r>
          </m:e>
          <m:sub>
            <m:r>
              <m:rPr>
                <m:nor/>
              </m:rPr>
              <w:rPr>
                <w:sz w:val="20"/>
                <w:szCs w:val="20"/>
                <w:lang w:val="en-GB" w:eastAsia="zh-CN"/>
              </w:rPr>
              <m:t>offset</m:t>
            </m:r>
          </m:sub>
          <m:sup>
            <m:r>
              <m:rPr>
                <m:nor/>
              </m:rPr>
              <w:rPr>
                <w:sz w:val="20"/>
                <w:szCs w:val="20"/>
                <w:lang w:val="en-GB" w:eastAsia="zh-CN"/>
              </w:rPr>
              <m:t>PRS</m:t>
            </m:r>
          </m:sup>
        </m:sSubSup>
      </m:oMath>
      <w:r w:rsidRPr="0029521C">
        <w:rPr>
          <w:sz w:val="20"/>
          <w:szCs w:val="20"/>
          <w:lang w:val="en-GB" w:eastAsia="zh-CN"/>
        </w:rPr>
        <w:t xml:space="preserve">, which can be up to the DL-PRS periodicity, and the downlink PRS resource slot offset </w:t>
      </w:r>
      <m:oMath>
        <m:sSubSup>
          <m:sSubSupPr>
            <m:ctrlPr>
              <w:rPr>
                <w:rFonts w:ascii="Cambria Math" w:hAnsi="Cambria Math"/>
                <w:i/>
                <w:sz w:val="20"/>
                <w:szCs w:val="20"/>
                <w:lang w:val="en-GB" w:eastAsia="zh-CN"/>
              </w:rPr>
            </m:ctrlPr>
          </m:sSubSupPr>
          <m:e>
            <m:r>
              <w:rPr>
                <w:rFonts w:ascii="Cambria Math" w:hAnsi="Cambria Math"/>
                <w:sz w:val="20"/>
                <w:szCs w:val="20"/>
                <w:lang w:val="en-GB" w:eastAsia="zh-CN"/>
              </w:rPr>
              <m:t>T</m:t>
            </m:r>
          </m:e>
          <m:sub>
            <m:r>
              <m:rPr>
                <m:nor/>
              </m:rPr>
              <w:rPr>
                <w:sz w:val="20"/>
                <w:szCs w:val="20"/>
                <w:lang w:val="en-GB" w:eastAsia="zh-CN"/>
              </w:rPr>
              <m:t>offset,res</m:t>
            </m:r>
          </m:sub>
          <m:sup>
            <m:r>
              <m:rPr>
                <m:nor/>
              </m:rPr>
              <w:rPr>
                <w:sz w:val="20"/>
                <w:szCs w:val="20"/>
                <w:lang w:val="en-GB" w:eastAsia="zh-CN"/>
              </w:rPr>
              <m:t>PRS</m:t>
            </m:r>
          </m:sup>
        </m:sSubSup>
      </m:oMath>
      <w:r w:rsidRPr="0029521C">
        <w:rPr>
          <w:sz w:val="20"/>
          <w:szCs w:val="20"/>
          <w:lang w:val="en-GB" w:eastAsia="zh-CN"/>
        </w:rPr>
        <w:t xml:space="preserve">, are such that PRS receptions are aligned with the </w:t>
      </w:r>
      <w:r w:rsidRPr="0029521C">
        <w:rPr>
          <w:sz w:val="20"/>
          <w:szCs w:val="20"/>
          <w:lang w:eastAsia="zh-CN"/>
        </w:rPr>
        <w:t>measurement gap length (MGL), after RF retuning. We should note that on average, DL-PRS alignment within the MGL may need half of the PRS periodicity. Hence, the assumption here on PRS reception aligned with MGL, after RF retuning gap, is to minimize the latency. Further to reduce the latency, we assume that 18 PRS resources are multiplexed together to the extent possible, as it is explained below.</w:t>
      </w:r>
    </w:p>
    <w:p w14:paraId="2FBF10F2" w14:textId="77777777" w:rsidR="0029521C" w:rsidRPr="0029521C" w:rsidRDefault="0029521C" w:rsidP="0029521C">
      <w:pPr>
        <w:jc w:val="both"/>
        <w:rPr>
          <w:sz w:val="20"/>
          <w:szCs w:val="20"/>
          <w:lang w:eastAsia="zh-CN"/>
        </w:rPr>
      </w:pPr>
    </w:p>
    <w:p w14:paraId="625ABFD2" w14:textId="4FF9E729" w:rsidR="0029521C" w:rsidRDefault="0029521C" w:rsidP="0029521C">
      <w:pPr>
        <w:jc w:val="both"/>
        <w:rPr>
          <w:sz w:val="20"/>
          <w:szCs w:val="20"/>
          <w:lang w:val="en-GB" w:eastAsia="zh-CN"/>
        </w:rPr>
      </w:pPr>
      <w:r w:rsidRPr="0029521C">
        <w:rPr>
          <w:sz w:val="20"/>
          <w:szCs w:val="20"/>
          <w:lang w:eastAsia="zh-CN"/>
        </w:rPr>
        <w:t xml:space="preserve">In Rel-16, </w:t>
      </w:r>
      <w:r w:rsidRPr="0029521C">
        <w:rPr>
          <w:sz w:val="20"/>
          <w:szCs w:val="20"/>
          <w:lang w:val="en-GB" w:eastAsia="zh-CN"/>
        </w:rPr>
        <w:t xml:space="preserve">the duration of a DL-PRS resource in the time domain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L</m:t>
            </m:r>
          </m:e>
          <m:sub>
            <m:r>
              <m:rPr>
                <m:nor/>
              </m:rPr>
              <w:rPr>
                <w:sz w:val="20"/>
                <w:szCs w:val="20"/>
                <w:lang w:val="en-GB" w:eastAsia="zh-CN"/>
              </w:rPr>
              <m:t>PRS</m:t>
            </m:r>
          </m:sub>
        </m:sSub>
      </m:oMath>
      <w:r w:rsidRPr="0029521C">
        <w:rPr>
          <w:sz w:val="20"/>
          <w:szCs w:val="20"/>
          <w:lang w:val="en-GB" w:eastAsia="zh-CN"/>
        </w:rPr>
        <w:t xml:space="preserve">, given by the higher-layer parameter </w:t>
      </w:r>
      <w:r w:rsidRPr="0029521C">
        <w:rPr>
          <w:i/>
          <w:sz w:val="20"/>
          <w:szCs w:val="20"/>
          <w:lang w:val="en-GB" w:eastAsia="zh-CN"/>
        </w:rPr>
        <w:t>dl-PRS-NumSymbols-r16</w:t>
      </w:r>
      <w:r w:rsidRPr="0029521C">
        <w:rPr>
          <w:sz w:val="20"/>
          <w:szCs w:val="20"/>
          <w:lang w:val="en-GB" w:eastAsia="zh-CN"/>
        </w:rPr>
        <w:t xml:space="preserve">, can be </w:t>
      </w:r>
      <m:oMath>
        <m:d>
          <m:dPr>
            <m:begChr m:val="{"/>
            <m:endChr m:val="}"/>
            <m:ctrlPr>
              <w:rPr>
                <w:rFonts w:ascii="Cambria Math" w:hAnsi="Cambria Math"/>
                <w:i/>
                <w:sz w:val="20"/>
                <w:szCs w:val="20"/>
                <w:lang w:val="en-GB" w:eastAsia="zh-CN"/>
              </w:rPr>
            </m:ctrlPr>
          </m:dPr>
          <m:e>
            <m:r>
              <w:rPr>
                <w:rFonts w:ascii="Cambria Math" w:hAnsi="Cambria Math"/>
                <w:sz w:val="20"/>
                <w:szCs w:val="20"/>
                <w:lang w:val="en-GB" w:eastAsia="zh-CN"/>
              </w:rPr>
              <m:t>2, 4, 6, 12</m:t>
            </m:r>
          </m:e>
        </m:d>
      </m:oMath>
      <w:r w:rsidRPr="0029521C">
        <w:rPr>
          <w:sz w:val="20"/>
          <w:szCs w:val="20"/>
          <w:lang w:val="en-GB" w:eastAsia="zh-CN"/>
        </w:rPr>
        <w:t xml:space="preserve"> symbols within the PRS reception slot. Furthermore, the PRS resource comb size </w:t>
      </w:r>
      <m:oMath>
        <m:sSubSup>
          <m:sSubSupPr>
            <m:ctrlPr>
              <w:rPr>
                <w:rFonts w:ascii="Cambria Math" w:hAnsi="Cambria Math"/>
                <w:i/>
                <w:sz w:val="20"/>
                <w:szCs w:val="20"/>
                <w:lang w:val="en-GB" w:eastAsia="zh-CN"/>
              </w:rPr>
            </m:ctrlPr>
          </m:sSubSupPr>
          <m:e>
            <m:r>
              <w:rPr>
                <w:rFonts w:ascii="Cambria Math" w:hAnsi="Cambria Math"/>
                <w:sz w:val="20"/>
                <w:szCs w:val="20"/>
                <w:lang w:val="en-GB" w:eastAsia="zh-CN"/>
              </w:rPr>
              <m:t>K</m:t>
            </m:r>
          </m:e>
          <m:sub>
            <m:r>
              <m:rPr>
                <m:nor/>
              </m:rPr>
              <w:rPr>
                <w:sz w:val="20"/>
                <w:szCs w:val="20"/>
                <w:lang w:eastAsia="zh-CN"/>
              </w:rPr>
              <m:t>comb</m:t>
            </m:r>
          </m:sub>
          <m:sup>
            <m:r>
              <m:rPr>
                <m:nor/>
              </m:rPr>
              <w:rPr>
                <w:sz w:val="20"/>
                <w:szCs w:val="20"/>
                <w:lang w:eastAsia="zh-CN"/>
              </w:rPr>
              <m:t>PRS</m:t>
            </m:r>
          </m:sup>
        </m:sSubSup>
      </m:oMath>
      <w:r w:rsidRPr="0029521C">
        <w:rPr>
          <w:sz w:val="20"/>
          <w:szCs w:val="20"/>
          <w:lang w:val="en-GB" w:eastAsia="zh-CN"/>
        </w:rPr>
        <w:t xml:space="preserve">, given by the higher-layer parameter </w:t>
      </w:r>
      <w:r w:rsidRPr="0029521C">
        <w:rPr>
          <w:i/>
          <w:sz w:val="20"/>
          <w:szCs w:val="20"/>
          <w:lang w:val="en-GB" w:eastAsia="zh-CN"/>
        </w:rPr>
        <w:t>dl-PRS-CombSizeN-r16</w:t>
      </w:r>
      <w:r w:rsidRPr="0029521C">
        <w:rPr>
          <w:iCs/>
          <w:sz w:val="20"/>
          <w:szCs w:val="20"/>
          <w:lang w:val="en-GB" w:eastAsia="zh-CN"/>
        </w:rPr>
        <w:t xml:space="preserve">, can be </w:t>
      </w:r>
      <m:oMath>
        <m:d>
          <m:dPr>
            <m:begChr m:val="{"/>
            <m:endChr m:val="}"/>
            <m:ctrlPr>
              <w:rPr>
                <w:rFonts w:ascii="Cambria Math" w:hAnsi="Cambria Math"/>
                <w:i/>
                <w:sz w:val="20"/>
                <w:szCs w:val="20"/>
                <w:lang w:val="en-GB" w:eastAsia="zh-CN"/>
              </w:rPr>
            </m:ctrlPr>
          </m:dPr>
          <m:e>
            <m:r>
              <w:rPr>
                <w:rFonts w:ascii="Cambria Math" w:hAnsi="Cambria Math"/>
                <w:sz w:val="20"/>
                <w:szCs w:val="20"/>
                <w:lang w:eastAsia="zh-CN"/>
              </w:rPr>
              <m:t>2, 4, 6, 12</m:t>
            </m:r>
          </m:e>
        </m:d>
      </m:oMath>
      <w:r w:rsidRPr="0029521C">
        <w:rPr>
          <w:sz w:val="20"/>
          <w:szCs w:val="20"/>
          <w:lang w:val="en-GB" w:eastAsia="zh-CN"/>
        </w:rPr>
        <w:t xml:space="preserve">. However, </w:t>
      </w:r>
      <w:r w:rsidRPr="0029521C">
        <w:rPr>
          <w:iCs/>
          <w:sz w:val="20"/>
          <w:szCs w:val="20"/>
          <w:lang w:val="en-GB" w:eastAsia="zh-CN"/>
        </w:rPr>
        <w:t xml:space="preserve">the combination of </w:t>
      </w:r>
      <m:oMath>
        <m:d>
          <m:dPr>
            <m:begChr m:val="{"/>
            <m:endChr m:val="}"/>
            <m:ctrlPr>
              <w:rPr>
                <w:rFonts w:ascii="Cambria Math" w:hAnsi="Cambria Math"/>
                <w:sz w:val="20"/>
                <w:szCs w:val="20"/>
                <w:lang w:val="en-GB" w:eastAsia="zh-CN"/>
              </w:rPr>
            </m:ctrlPr>
          </m:dPr>
          <m:e>
            <m:sSub>
              <m:sSubPr>
                <m:ctrlPr>
                  <w:rPr>
                    <w:rFonts w:ascii="Cambria Math" w:hAnsi="Cambria Math"/>
                    <w:sz w:val="20"/>
                    <w:szCs w:val="20"/>
                    <w:lang w:val="en-GB" w:eastAsia="zh-CN"/>
                  </w:rPr>
                </m:ctrlPr>
              </m:sSubPr>
              <m:e>
                <m:r>
                  <w:rPr>
                    <w:rFonts w:ascii="Cambria Math" w:hAnsi="Cambria Math"/>
                    <w:sz w:val="20"/>
                    <w:szCs w:val="20"/>
                    <w:lang w:val="en-GB" w:eastAsia="zh-CN"/>
                  </w:rPr>
                  <m:t>L</m:t>
                </m:r>
              </m:e>
              <m:sub>
                <m:r>
                  <m:rPr>
                    <m:nor/>
                  </m:rPr>
                  <w:rPr>
                    <w:sz w:val="20"/>
                    <w:szCs w:val="20"/>
                    <w:lang w:val="en-GB" w:eastAsia="zh-CN"/>
                  </w:rPr>
                  <m:t>PRS</m:t>
                </m:r>
              </m:sub>
            </m:sSub>
            <m:r>
              <w:rPr>
                <w:rFonts w:ascii="Cambria Math" w:hAnsi="Cambria Math"/>
                <w:sz w:val="20"/>
                <w:szCs w:val="20"/>
                <w:lang w:val="en-GB" w:eastAsia="zh-CN"/>
              </w:rPr>
              <m:t>,</m:t>
            </m:r>
            <m:sSubSup>
              <m:sSubSupPr>
                <m:ctrlPr>
                  <w:rPr>
                    <w:rFonts w:ascii="Cambria Math" w:hAnsi="Cambria Math"/>
                    <w:i/>
                    <w:sz w:val="20"/>
                    <w:szCs w:val="20"/>
                    <w:lang w:val="en-GB" w:eastAsia="zh-CN"/>
                  </w:rPr>
                </m:ctrlPr>
              </m:sSubSupPr>
              <m:e>
                <m:r>
                  <w:rPr>
                    <w:rFonts w:ascii="Cambria Math" w:hAnsi="Cambria Math"/>
                    <w:sz w:val="20"/>
                    <w:szCs w:val="20"/>
                    <w:lang w:val="en-GB" w:eastAsia="zh-CN"/>
                  </w:rPr>
                  <m:t>K</m:t>
                </m:r>
              </m:e>
              <m:sub>
                <m:r>
                  <m:rPr>
                    <m:nor/>
                  </m:rPr>
                  <w:rPr>
                    <w:sz w:val="20"/>
                    <w:szCs w:val="20"/>
                    <w:lang w:eastAsia="zh-CN"/>
                  </w:rPr>
                  <m:t>comb</m:t>
                </m:r>
              </m:sub>
              <m:sup>
                <m:r>
                  <m:rPr>
                    <m:nor/>
                  </m:rPr>
                  <w:rPr>
                    <w:sz w:val="20"/>
                    <w:szCs w:val="20"/>
                    <w:lang w:eastAsia="zh-CN"/>
                  </w:rPr>
                  <m:t>PRS</m:t>
                </m:r>
              </m:sup>
            </m:sSubSup>
          </m:e>
        </m:d>
      </m:oMath>
      <w:r w:rsidRPr="0029521C">
        <w:rPr>
          <w:sz w:val="20"/>
          <w:szCs w:val="20"/>
          <w:lang w:val="en-GB" w:eastAsia="zh-CN"/>
        </w:rPr>
        <w:t xml:space="preserve"> </w:t>
      </w:r>
      <w:r w:rsidRPr="0029521C">
        <w:rPr>
          <w:iCs/>
          <w:sz w:val="20"/>
          <w:szCs w:val="20"/>
          <w:lang w:val="en-GB" w:eastAsia="zh-CN"/>
        </w:rPr>
        <w:t xml:space="preserve">shall be one of {2, 2},{4, 2}, {6, 2}, {12, 2}, {4, 4}, {12, 4}, {6, 6}, {12, 6} and {12, 12}. Under such specification, the minimum number of symbols required to receive 18 DL-PRS resources from 18 TRPs, is 18 symbols which is achieved with the configuration </w:t>
      </w:r>
      <m:oMath>
        <m:d>
          <m:dPr>
            <m:begChr m:val="{"/>
            <m:endChr m:val="}"/>
            <m:ctrlPr>
              <w:rPr>
                <w:rFonts w:ascii="Cambria Math" w:hAnsi="Cambria Math"/>
                <w:sz w:val="20"/>
                <w:szCs w:val="20"/>
                <w:lang w:val="en-GB" w:eastAsia="zh-CN"/>
              </w:rPr>
            </m:ctrlPr>
          </m:dPr>
          <m:e>
            <m:sSub>
              <m:sSubPr>
                <m:ctrlPr>
                  <w:rPr>
                    <w:rFonts w:ascii="Cambria Math" w:hAnsi="Cambria Math"/>
                    <w:sz w:val="20"/>
                    <w:szCs w:val="20"/>
                    <w:lang w:val="en-GB" w:eastAsia="zh-CN"/>
                  </w:rPr>
                </m:ctrlPr>
              </m:sSubPr>
              <m:e>
                <m:r>
                  <w:rPr>
                    <w:rFonts w:ascii="Cambria Math" w:hAnsi="Cambria Math"/>
                    <w:sz w:val="20"/>
                    <w:szCs w:val="20"/>
                    <w:lang w:val="en-GB" w:eastAsia="zh-CN"/>
                  </w:rPr>
                  <m:t>L</m:t>
                </m:r>
              </m:e>
              <m:sub>
                <m:r>
                  <m:rPr>
                    <m:nor/>
                  </m:rPr>
                  <w:rPr>
                    <w:sz w:val="20"/>
                    <w:szCs w:val="20"/>
                    <w:lang w:val="en-GB" w:eastAsia="zh-CN"/>
                  </w:rPr>
                  <m:t>PRS</m:t>
                </m:r>
              </m:sub>
            </m:sSub>
            <m:r>
              <w:rPr>
                <w:rFonts w:ascii="Cambria Math" w:hAnsi="Cambria Math"/>
                <w:sz w:val="20"/>
                <w:szCs w:val="20"/>
                <w:lang w:val="en-GB" w:eastAsia="zh-CN"/>
              </w:rPr>
              <m:t>,</m:t>
            </m:r>
            <m:sSubSup>
              <m:sSubSupPr>
                <m:ctrlPr>
                  <w:rPr>
                    <w:rFonts w:ascii="Cambria Math" w:hAnsi="Cambria Math"/>
                    <w:i/>
                    <w:sz w:val="20"/>
                    <w:szCs w:val="20"/>
                    <w:lang w:val="en-GB" w:eastAsia="zh-CN"/>
                  </w:rPr>
                </m:ctrlPr>
              </m:sSubSupPr>
              <m:e>
                <m:r>
                  <w:rPr>
                    <w:rFonts w:ascii="Cambria Math" w:hAnsi="Cambria Math"/>
                    <w:sz w:val="20"/>
                    <w:szCs w:val="20"/>
                    <w:lang w:val="en-GB" w:eastAsia="zh-CN"/>
                  </w:rPr>
                  <m:t>K</m:t>
                </m:r>
              </m:e>
              <m:sub>
                <m:r>
                  <m:rPr>
                    <m:nor/>
                  </m:rPr>
                  <w:rPr>
                    <w:sz w:val="20"/>
                    <w:szCs w:val="20"/>
                    <w:lang w:eastAsia="zh-CN"/>
                  </w:rPr>
                  <m:t>comb</m:t>
                </m:r>
              </m:sub>
              <m:sup>
                <m:r>
                  <m:rPr>
                    <m:nor/>
                  </m:rPr>
                  <w:rPr>
                    <w:sz w:val="20"/>
                    <w:szCs w:val="20"/>
                    <w:lang w:eastAsia="zh-CN"/>
                  </w:rPr>
                  <m:t>PRS</m:t>
                </m:r>
              </m:sup>
            </m:sSubSup>
          </m:e>
        </m:d>
        <m:r>
          <w:rPr>
            <w:rFonts w:ascii="Cambria Math" w:hAnsi="Cambria Math"/>
            <w:sz w:val="20"/>
            <w:szCs w:val="20"/>
            <w:lang w:val="en-GB" w:eastAsia="zh-CN"/>
          </w:rPr>
          <m:t>={2, 2}</m:t>
        </m:r>
      </m:oMath>
      <w:r w:rsidRPr="0029521C">
        <w:rPr>
          <w:sz w:val="20"/>
          <w:szCs w:val="20"/>
          <w:lang w:val="en-GB" w:eastAsia="zh-CN"/>
        </w:rPr>
        <w:t xml:space="preserve">, or </w:t>
      </w:r>
      <m:oMath>
        <m:d>
          <m:dPr>
            <m:begChr m:val="{"/>
            <m:endChr m:val="}"/>
            <m:ctrlPr>
              <w:rPr>
                <w:rFonts w:ascii="Cambria Math" w:hAnsi="Cambria Math"/>
                <w:sz w:val="20"/>
                <w:szCs w:val="20"/>
                <w:lang w:val="en-GB" w:eastAsia="zh-CN"/>
              </w:rPr>
            </m:ctrlPr>
          </m:dPr>
          <m:e>
            <m:sSub>
              <m:sSubPr>
                <m:ctrlPr>
                  <w:rPr>
                    <w:rFonts w:ascii="Cambria Math" w:hAnsi="Cambria Math"/>
                    <w:sz w:val="20"/>
                    <w:szCs w:val="20"/>
                    <w:lang w:val="en-GB" w:eastAsia="zh-CN"/>
                  </w:rPr>
                </m:ctrlPr>
              </m:sSubPr>
              <m:e>
                <m:r>
                  <w:rPr>
                    <w:rFonts w:ascii="Cambria Math" w:hAnsi="Cambria Math"/>
                    <w:sz w:val="20"/>
                    <w:szCs w:val="20"/>
                    <w:lang w:val="en-GB" w:eastAsia="zh-CN"/>
                  </w:rPr>
                  <m:t>L</m:t>
                </m:r>
              </m:e>
              <m:sub>
                <m:r>
                  <m:rPr>
                    <m:nor/>
                  </m:rPr>
                  <w:rPr>
                    <w:sz w:val="20"/>
                    <w:szCs w:val="20"/>
                    <w:lang w:val="en-GB" w:eastAsia="zh-CN"/>
                  </w:rPr>
                  <m:t>PRS</m:t>
                </m:r>
              </m:sub>
            </m:sSub>
            <m:r>
              <w:rPr>
                <w:rFonts w:ascii="Cambria Math" w:hAnsi="Cambria Math"/>
                <w:sz w:val="20"/>
                <w:szCs w:val="20"/>
                <w:lang w:val="en-GB" w:eastAsia="zh-CN"/>
              </w:rPr>
              <m:t>,</m:t>
            </m:r>
            <m:sSubSup>
              <m:sSubSupPr>
                <m:ctrlPr>
                  <w:rPr>
                    <w:rFonts w:ascii="Cambria Math" w:hAnsi="Cambria Math"/>
                    <w:i/>
                    <w:sz w:val="20"/>
                    <w:szCs w:val="20"/>
                    <w:lang w:val="en-GB" w:eastAsia="zh-CN"/>
                  </w:rPr>
                </m:ctrlPr>
              </m:sSubSupPr>
              <m:e>
                <m:r>
                  <w:rPr>
                    <w:rFonts w:ascii="Cambria Math" w:hAnsi="Cambria Math"/>
                    <w:sz w:val="20"/>
                    <w:szCs w:val="20"/>
                    <w:lang w:val="en-GB" w:eastAsia="zh-CN"/>
                  </w:rPr>
                  <m:t>K</m:t>
                </m:r>
              </m:e>
              <m:sub>
                <m:r>
                  <m:rPr>
                    <m:nor/>
                  </m:rPr>
                  <w:rPr>
                    <w:sz w:val="20"/>
                    <w:szCs w:val="20"/>
                    <w:lang w:eastAsia="zh-CN"/>
                  </w:rPr>
                  <m:t>comb</m:t>
                </m:r>
              </m:sub>
              <m:sup>
                <m:r>
                  <m:rPr>
                    <m:nor/>
                  </m:rPr>
                  <w:rPr>
                    <w:sz w:val="20"/>
                    <w:szCs w:val="20"/>
                    <w:lang w:eastAsia="zh-CN"/>
                  </w:rPr>
                  <m:t>PRS</m:t>
                </m:r>
              </m:sup>
            </m:sSubSup>
          </m:e>
        </m:d>
        <m:r>
          <w:rPr>
            <w:rFonts w:ascii="Cambria Math" w:hAnsi="Cambria Math"/>
            <w:sz w:val="20"/>
            <w:szCs w:val="20"/>
            <w:lang w:val="en-GB" w:eastAsia="zh-CN"/>
          </w:rPr>
          <m:t>={6, 6}</m:t>
        </m:r>
      </m:oMath>
      <w:r w:rsidRPr="0029521C">
        <w:rPr>
          <w:sz w:val="20"/>
          <w:szCs w:val="20"/>
          <w:lang w:val="en-GB" w:eastAsia="zh-CN"/>
        </w:rPr>
        <w:t xml:space="preserve">. </w:t>
      </w:r>
    </w:p>
    <w:p w14:paraId="4125E22B" w14:textId="77777777" w:rsidR="0029521C" w:rsidRPr="0029521C" w:rsidRDefault="0029521C" w:rsidP="0029521C">
      <w:pPr>
        <w:jc w:val="both"/>
        <w:rPr>
          <w:sz w:val="20"/>
          <w:szCs w:val="20"/>
          <w:lang w:val="en-GB" w:eastAsia="zh-CN"/>
        </w:rPr>
      </w:pPr>
    </w:p>
    <w:p w14:paraId="1B5B55FF" w14:textId="5A42E566" w:rsidR="0029521C" w:rsidRDefault="0029521C" w:rsidP="0029521C">
      <w:pPr>
        <w:jc w:val="both"/>
        <w:rPr>
          <w:sz w:val="20"/>
          <w:szCs w:val="20"/>
          <w:lang w:val="en-GB" w:eastAsia="zh-CN"/>
        </w:rPr>
      </w:pPr>
      <w:r w:rsidRPr="0029521C">
        <w:rPr>
          <w:sz w:val="20"/>
          <w:szCs w:val="20"/>
          <w:lang w:val="en-GB" w:eastAsia="zh-CN"/>
        </w:rPr>
        <w:t>Based on the assumptions and analysis mentioned above, the required time to receive 18 PRS resources from all TRPs is about 0.65ms, that is 18 symbols at 30kHz SCS. Now, let’s assume at 30kHz SCS, UE would require 2 slots, after the last symbol of the last PRS resource reception, to complete processing the PRS measurements. Note that 2 slots, is just a number to simplify the calculations, nothing that we propose at this stage. Also note that if UE is supposed to calculate the position location, e.g. in UE-based DL positioning, processing time could be larger.</w:t>
      </w:r>
    </w:p>
    <w:p w14:paraId="708BB968" w14:textId="3B54C8A9" w:rsidR="0029521C" w:rsidRDefault="0029521C" w:rsidP="0029521C">
      <w:pPr>
        <w:jc w:val="both"/>
        <w:rPr>
          <w:sz w:val="20"/>
          <w:szCs w:val="20"/>
          <w:lang w:val="en-GB" w:eastAsia="zh-CN"/>
        </w:rPr>
      </w:pPr>
    </w:p>
    <w:p w14:paraId="3EA2DB3A" w14:textId="77777777" w:rsidR="0029521C" w:rsidRPr="0029521C" w:rsidRDefault="0029521C" w:rsidP="0029521C">
      <w:pPr>
        <w:jc w:val="both"/>
        <w:rPr>
          <w:sz w:val="20"/>
          <w:szCs w:val="20"/>
          <w:lang w:eastAsia="zh-CN"/>
        </w:rPr>
      </w:pPr>
    </w:p>
    <w:p w14:paraId="47245147" w14:textId="61F76B6F" w:rsidR="0029521C" w:rsidRPr="00F968E4" w:rsidRDefault="0029521C" w:rsidP="0029521C">
      <w:pPr>
        <w:pStyle w:val="Heading3"/>
      </w:pPr>
      <w:r>
        <w:t>Alignment latency for positioning reporting</w:t>
      </w:r>
    </w:p>
    <w:p w14:paraId="2700035E" w14:textId="77777777" w:rsidR="0029521C" w:rsidRDefault="0029521C" w:rsidP="0029521C">
      <w:pPr>
        <w:jc w:val="both"/>
        <w:rPr>
          <w:sz w:val="20"/>
          <w:lang w:val="en-GB" w:eastAsia="zh-CN"/>
        </w:rPr>
      </w:pPr>
      <w:r w:rsidRPr="0029521C">
        <w:rPr>
          <w:sz w:val="20"/>
          <w:szCs w:val="20"/>
          <w:lang w:val="en-GB" w:eastAsia="zh-CN"/>
        </w:rPr>
        <w:t xml:space="preserve">UE can report positioning measurement and/or location estimation on a PUSCH grant. The PUSCH grant for this report can be a configured grant (CG) or a dynamic grant. We note that latency components for positioning report on DG-PUSCH may include, delay to align with SR opportunity, </w:t>
      </w:r>
      <w:proofErr w:type="spellStart"/>
      <w:r w:rsidRPr="0029521C">
        <w:rPr>
          <w:sz w:val="20"/>
          <w:szCs w:val="20"/>
          <w:lang w:val="en-GB" w:eastAsia="zh-CN"/>
        </w:rPr>
        <w:t>gNB</w:t>
      </w:r>
      <w:proofErr w:type="spellEnd"/>
      <w:r w:rsidRPr="0029521C">
        <w:rPr>
          <w:sz w:val="20"/>
          <w:szCs w:val="20"/>
          <w:lang w:val="en-GB" w:eastAsia="zh-CN"/>
        </w:rPr>
        <w:t xml:space="preserve"> processing time</w:t>
      </w:r>
      <w:r>
        <w:rPr>
          <w:sz w:val="20"/>
          <w:szCs w:val="20"/>
          <w:lang w:val="en-GB" w:eastAsia="zh-CN"/>
        </w:rPr>
        <w:t xml:space="preserve"> </w:t>
      </w:r>
      <w:r w:rsidRPr="0029521C">
        <w:rPr>
          <w:sz w:val="20"/>
          <w:lang w:val="en-GB" w:eastAsia="zh-CN"/>
        </w:rPr>
        <w:t xml:space="preserve">to receive SR and to align with PDCCH monitoring occasions to grant the PUSCH, and N2 symbols (as given by TS 38.214, Table 6.4-1 or Table 6.4-2, depending on UE capability) for UE to process PDCCH and to prepare for PUSCH transmission. Again, to minimize the latency, we assume UE is configured with an UL CG, with 1 slot periodicity. It should be noted that NR specification allows a CG configuration with less than a slot periodicity, but 1 slot periodicity seems more reasonable for our calculations. </w:t>
      </w:r>
    </w:p>
    <w:p w14:paraId="4D8A394E" w14:textId="77777777" w:rsidR="0029521C" w:rsidRDefault="0029521C" w:rsidP="0029521C">
      <w:pPr>
        <w:jc w:val="both"/>
        <w:rPr>
          <w:sz w:val="20"/>
          <w:lang w:val="en-GB" w:eastAsia="zh-CN"/>
        </w:rPr>
      </w:pPr>
    </w:p>
    <w:p w14:paraId="3F967F55" w14:textId="14631B3D" w:rsidR="0029521C" w:rsidRPr="0029521C" w:rsidRDefault="0029521C" w:rsidP="0029521C">
      <w:pPr>
        <w:jc w:val="both"/>
        <w:rPr>
          <w:sz w:val="20"/>
          <w:szCs w:val="20"/>
          <w:lang w:val="en-GB" w:eastAsia="zh-CN"/>
        </w:rPr>
      </w:pPr>
      <w:r w:rsidRPr="0029521C">
        <w:rPr>
          <w:sz w:val="20"/>
          <w:lang w:val="en-GB" w:eastAsia="zh-CN"/>
        </w:rPr>
        <w:t xml:space="preserve">Now, there is an alignment latency which is the time gap between the time when UE is ready to report positioning measurements and the time when PUSCH grant is available. In general, </w:t>
      </w:r>
      <w:proofErr w:type="spellStart"/>
      <w:r w:rsidRPr="0029521C">
        <w:rPr>
          <w:sz w:val="20"/>
          <w:lang w:val="en-GB" w:eastAsia="zh-CN"/>
        </w:rPr>
        <w:t>gNB</w:t>
      </w:r>
      <w:proofErr w:type="spellEnd"/>
      <w:r w:rsidRPr="0029521C">
        <w:rPr>
          <w:sz w:val="20"/>
          <w:lang w:val="en-GB" w:eastAsia="zh-CN"/>
        </w:rPr>
        <w:t xml:space="preserve"> cannot make this alignment delay to be zero, e.g. by properly configuring the CG offset and/or periodicity, as the alignment delay could vary depending on different factors like UE’s timing advance. Thus, we assume the average alignment latency is half of the CG periodicity, i.e. half a slot based on the assumption of a CG PUSCH with 1 slot periodicity. We also assume that PUSCH duration that carries positioning measurements and/or location calculations is one slot. Thus, the average required latency to report positioning measurements is 1.5 slot, or 0.75ms at 30kHz SCS.</w:t>
      </w:r>
    </w:p>
    <w:p w14:paraId="7AAC4567" w14:textId="479AC628" w:rsidR="0029521C" w:rsidRDefault="0029521C" w:rsidP="0029521C">
      <w:pPr>
        <w:pStyle w:val="3GPPText"/>
        <w:rPr>
          <w:rFonts w:eastAsia="Times New Roman"/>
          <w:sz w:val="20"/>
          <w:lang w:val="en-GB" w:eastAsia="zh-CN"/>
        </w:rPr>
      </w:pPr>
      <w:r w:rsidRPr="0029521C">
        <w:rPr>
          <w:rFonts w:eastAsia="Times New Roman"/>
          <w:sz w:val="20"/>
          <w:lang w:val="en-GB" w:eastAsia="zh-CN"/>
        </w:rPr>
        <w:t>B</w:t>
      </w:r>
      <w:r w:rsidRPr="0029521C">
        <w:rPr>
          <w:rFonts w:eastAsia="Times New Roman" w:hint="eastAsia"/>
          <w:sz w:val="20"/>
          <w:lang w:val="en-GB" w:eastAsia="zh-CN"/>
        </w:rPr>
        <w:t xml:space="preserve">ased on </w:t>
      </w:r>
      <w:r w:rsidRPr="0029521C">
        <w:rPr>
          <w:rFonts w:eastAsia="Times New Roman"/>
          <w:sz w:val="20"/>
          <w:lang w:val="en-GB" w:eastAsia="zh-CN"/>
        </w:rPr>
        <w:t xml:space="preserve">the </w:t>
      </w:r>
      <w:r w:rsidRPr="0029521C">
        <w:rPr>
          <w:rFonts w:eastAsia="Times New Roman" w:hint="eastAsia"/>
          <w:sz w:val="20"/>
          <w:lang w:val="en-GB" w:eastAsia="zh-CN"/>
        </w:rPr>
        <w:t xml:space="preserve">above </w:t>
      </w:r>
      <w:r w:rsidRPr="0029521C">
        <w:rPr>
          <w:rFonts w:eastAsia="Times New Roman"/>
          <w:sz w:val="20"/>
          <w:lang w:val="en-GB" w:eastAsia="zh-CN"/>
        </w:rPr>
        <w:t>assumptions</w:t>
      </w:r>
      <w:r w:rsidRPr="0029521C">
        <w:rPr>
          <w:rFonts w:eastAsia="Times New Roman" w:hint="eastAsia"/>
          <w:sz w:val="20"/>
          <w:lang w:val="en-GB" w:eastAsia="zh-CN"/>
        </w:rPr>
        <w:t xml:space="preserve"> and </w:t>
      </w:r>
      <w:r w:rsidRPr="0029521C">
        <w:rPr>
          <w:rFonts w:eastAsia="Times New Roman"/>
          <w:sz w:val="20"/>
          <w:lang w:val="en-GB" w:eastAsia="zh-CN"/>
        </w:rPr>
        <w:t>discussions</w:t>
      </w:r>
      <w:r w:rsidRPr="0029521C">
        <w:rPr>
          <w:rFonts w:eastAsia="Times New Roman" w:hint="eastAsia"/>
          <w:sz w:val="20"/>
          <w:lang w:val="en-GB" w:eastAsia="zh-CN"/>
        </w:rPr>
        <w:t xml:space="preserve">, </w:t>
      </w:r>
      <w:r w:rsidRPr="0029521C">
        <w:rPr>
          <w:rFonts w:eastAsia="Times New Roman"/>
          <w:sz w:val="20"/>
          <w:lang w:val="en-GB" w:eastAsia="zh-CN"/>
        </w:rPr>
        <w:t xml:space="preserve">Table 2 summarizes the achievable physical layer latency for DL positioning measurement, processing and reporting. </w:t>
      </w:r>
    </w:p>
    <w:p w14:paraId="17B0CE04" w14:textId="77777777" w:rsidR="00BF1A97" w:rsidRPr="0029521C" w:rsidRDefault="00BF1A97" w:rsidP="0029521C">
      <w:pPr>
        <w:pStyle w:val="3GPPText"/>
        <w:rPr>
          <w:rFonts w:eastAsia="Times New Roman"/>
          <w:sz w:val="20"/>
          <w:lang w:val="en-GB" w:eastAsia="zh-CN"/>
        </w:rPr>
      </w:pPr>
    </w:p>
    <w:p w14:paraId="5813F48A" w14:textId="77777777" w:rsidR="0007782F" w:rsidRDefault="0007782F" w:rsidP="0007782F">
      <w:pPr>
        <w:jc w:val="both"/>
        <w:rPr>
          <w:b/>
          <w:color w:val="000000" w:themeColor="text1"/>
          <w:sz w:val="20"/>
          <w:szCs w:val="20"/>
          <w:lang w:eastAsia="zh-CN"/>
        </w:rPr>
      </w:pPr>
    </w:p>
    <w:p w14:paraId="15B1CAE5" w14:textId="77777777" w:rsidR="0029521C" w:rsidRDefault="0029521C" w:rsidP="0029521C">
      <w:pPr>
        <w:jc w:val="center"/>
      </w:pPr>
      <w:r>
        <w:t>Table 2. L1 Latency Analysis for DL Positioning</w:t>
      </w:r>
    </w:p>
    <w:tbl>
      <w:tblPr>
        <w:tblStyle w:val="TableGrid"/>
        <w:tblW w:w="0" w:type="auto"/>
        <w:jc w:val="center"/>
        <w:tblLook w:val="04A0" w:firstRow="1" w:lastRow="0" w:firstColumn="1" w:lastColumn="0" w:noHBand="0" w:noVBand="1"/>
      </w:tblPr>
      <w:tblGrid>
        <w:gridCol w:w="4135"/>
        <w:gridCol w:w="1350"/>
      </w:tblGrid>
      <w:tr w:rsidR="0029521C" w14:paraId="20457165" w14:textId="77777777" w:rsidTr="002D45D0">
        <w:trPr>
          <w:jc w:val="center"/>
        </w:trPr>
        <w:tc>
          <w:tcPr>
            <w:tcW w:w="4135" w:type="dxa"/>
            <w:shd w:val="clear" w:color="auto" w:fill="FFC000"/>
          </w:tcPr>
          <w:p w14:paraId="60C17640" w14:textId="77777777" w:rsidR="0029521C" w:rsidRDefault="0029521C" w:rsidP="002D45D0">
            <w:pPr>
              <w:jc w:val="center"/>
            </w:pPr>
            <w:r>
              <w:t>parameter</w:t>
            </w:r>
          </w:p>
        </w:tc>
        <w:tc>
          <w:tcPr>
            <w:tcW w:w="1350" w:type="dxa"/>
            <w:shd w:val="clear" w:color="auto" w:fill="FFC000"/>
          </w:tcPr>
          <w:p w14:paraId="78E264E4" w14:textId="77777777" w:rsidR="0029521C" w:rsidRDefault="0029521C" w:rsidP="002D45D0">
            <w:r>
              <w:t>value</w:t>
            </w:r>
          </w:p>
        </w:tc>
      </w:tr>
      <w:tr w:rsidR="0029521C" w14:paraId="6C645BBE" w14:textId="77777777" w:rsidTr="002D45D0">
        <w:trPr>
          <w:jc w:val="center"/>
        </w:trPr>
        <w:tc>
          <w:tcPr>
            <w:tcW w:w="4135" w:type="dxa"/>
            <w:vAlign w:val="center"/>
          </w:tcPr>
          <w:p w14:paraId="231BFF31" w14:textId="77777777" w:rsidR="0029521C" w:rsidRPr="00933A72" w:rsidRDefault="0029521C" w:rsidP="002D45D0">
            <w:pPr>
              <w:rPr>
                <w:sz w:val="18"/>
                <w:szCs w:val="18"/>
                <w:lang w:eastAsia="zh-CN"/>
              </w:rPr>
            </w:pPr>
            <w:r>
              <w:rPr>
                <w:sz w:val="18"/>
                <w:szCs w:val="18"/>
                <w:lang w:eastAsia="zh-CN"/>
              </w:rPr>
              <w:t xml:space="preserve">DL-PRS receptions </w:t>
            </w:r>
          </w:p>
        </w:tc>
        <w:tc>
          <w:tcPr>
            <w:tcW w:w="1350" w:type="dxa"/>
            <w:vAlign w:val="center"/>
          </w:tcPr>
          <w:p w14:paraId="0419C9EE" w14:textId="77777777" w:rsidR="0029521C" w:rsidRPr="00933A72" w:rsidRDefault="0029521C" w:rsidP="002D45D0">
            <w:pPr>
              <w:rPr>
                <w:sz w:val="18"/>
                <w:szCs w:val="18"/>
                <w:lang w:eastAsia="zh-CN"/>
              </w:rPr>
            </w:pPr>
            <w:r>
              <w:rPr>
                <w:sz w:val="18"/>
                <w:szCs w:val="18"/>
                <w:lang w:eastAsia="zh-CN"/>
              </w:rPr>
              <w:t>0.65ms</w:t>
            </w:r>
          </w:p>
        </w:tc>
      </w:tr>
      <w:tr w:rsidR="0029521C" w14:paraId="70A65690" w14:textId="77777777" w:rsidTr="002D45D0">
        <w:trPr>
          <w:jc w:val="center"/>
        </w:trPr>
        <w:tc>
          <w:tcPr>
            <w:tcW w:w="4135" w:type="dxa"/>
            <w:vAlign w:val="center"/>
          </w:tcPr>
          <w:p w14:paraId="61206F46" w14:textId="77777777" w:rsidR="0029521C" w:rsidRPr="00933A72" w:rsidRDefault="0029521C" w:rsidP="002D45D0">
            <w:pPr>
              <w:rPr>
                <w:sz w:val="18"/>
                <w:szCs w:val="18"/>
                <w:lang w:eastAsia="zh-CN"/>
              </w:rPr>
            </w:pPr>
            <w:r>
              <w:rPr>
                <w:sz w:val="18"/>
                <w:szCs w:val="18"/>
                <w:lang w:eastAsia="zh-CN"/>
              </w:rPr>
              <w:t xml:space="preserve">DL Positioning measurement and processing </w:t>
            </w:r>
          </w:p>
        </w:tc>
        <w:tc>
          <w:tcPr>
            <w:tcW w:w="1350" w:type="dxa"/>
            <w:vAlign w:val="center"/>
          </w:tcPr>
          <w:p w14:paraId="3459B5F5" w14:textId="77777777" w:rsidR="0029521C" w:rsidRPr="00933A72" w:rsidRDefault="0029521C" w:rsidP="002D45D0">
            <w:pPr>
              <w:rPr>
                <w:sz w:val="18"/>
                <w:szCs w:val="18"/>
                <w:lang w:eastAsia="zh-CN"/>
              </w:rPr>
            </w:pPr>
            <w:r>
              <w:rPr>
                <w:sz w:val="18"/>
                <w:szCs w:val="18"/>
                <w:lang w:eastAsia="zh-CN"/>
              </w:rPr>
              <w:t>1ms</w:t>
            </w:r>
          </w:p>
        </w:tc>
      </w:tr>
      <w:tr w:rsidR="0029521C" w14:paraId="5E303176" w14:textId="77777777" w:rsidTr="002D45D0">
        <w:trPr>
          <w:jc w:val="center"/>
        </w:trPr>
        <w:tc>
          <w:tcPr>
            <w:tcW w:w="4135" w:type="dxa"/>
            <w:vAlign w:val="center"/>
          </w:tcPr>
          <w:p w14:paraId="3853B4FE" w14:textId="77777777" w:rsidR="0029521C" w:rsidRPr="00933A72" w:rsidRDefault="0029521C" w:rsidP="002D45D0">
            <w:pPr>
              <w:rPr>
                <w:sz w:val="18"/>
                <w:szCs w:val="18"/>
                <w:lang w:eastAsia="zh-CN"/>
              </w:rPr>
            </w:pPr>
            <w:r>
              <w:rPr>
                <w:sz w:val="18"/>
                <w:szCs w:val="18"/>
                <w:lang w:eastAsia="zh-CN"/>
              </w:rPr>
              <w:t>Alignment delay for positioning report</w:t>
            </w:r>
          </w:p>
        </w:tc>
        <w:tc>
          <w:tcPr>
            <w:tcW w:w="1350" w:type="dxa"/>
            <w:vAlign w:val="center"/>
          </w:tcPr>
          <w:p w14:paraId="7E5356A7" w14:textId="77777777" w:rsidR="0029521C" w:rsidRPr="00933A72" w:rsidRDefault="0029521C" w:rsidP="002D45D0">
            <w:pPr>
              <w:rPr>
                <w:sz w:val="18"/>
                <w:szCs w:val="18"/>
                <w:lang w:eastAsia="zh-CN"/>
              </w:rPr>
            </w:pPr>
            <w:r>
              <w:rPr>
                <w:sz w:val="18"/>
                <w:szCs w:val="18"/>
                <w:lang w:eastAsia="zh-CN"/>
              </w:rPr>
              <w:t>0.25ms</w:t>
            </w:r>
          </w:p>
        </w:tc>
      </w:tr>
      <w:tr w:rsidR="0029521C" w14:paraId="4484A797" w14:textId="77777777" w:rsidTr="002D45D0">
        <w:trPr>
          <w:jc w:val="center"/>
        </w:trPr>
        <w:tc>
          <w:tcPr>
            <w:tcW w:w="4135" w:type="dxa"/>
            <w:vAlign w:val="center"/>
          </w:tcPr>
          <w:p w14:paraId="79E6722D" w14:textId="77777777" w:rsidR="0029521C" w:rsidRPr="00933A72" w:rsidRDefault="0029521C" w:rsidP="002D45D0">
            <w:pPr>
              <w:rPr>
                <w:sz w:val="18"/>
                <w:szCs w:val="18"/>
                <w:lang w:eastAsia="zh-CN"/>
              </w:rPr>
            </w:pPr>
            <w:r>
              <w:rPr>
                <w:sz w:val="18"/>
                <w:szCs w:val="18"/>
                <w:lang w:eastAsia="zh-CN"/>
              </w:rPr>
              <w:t xml:space="preserve">PUSCH duration for positioning report </w:t>
            </w:r>
          </w:p>
        </w:tc>
        <w:tc>
          <w:tcPr>
            <w:tcW w:w="1350" w:type="dxa"/>
            <w:vAlign w:val="center"/>
          </w:tcPr>
          <w:p w14:paraId="18B72149" w14:textId="77777777" w:rsidR="0029521C" w:rsidRPr="00933A72" w:rsidRDefault="0029521C" w:rsidP="002D45D0">
            <w:pPr>
              <w:rPr>
                <w:sz w:val="18"/>
                <w:szCs w:val="18"/>
                <w:lang w:eastAsia="zh-CN"/>
              </w:rPr>
            </w:pPr>
            <w:r>
              <w:rPr>
                <w:sz w:val="18"/>
                <w:szCs w:val="18"/>
                <w:lang w:eastAsia="zh-CN"/>
              </w:rPr>
              <w:t>0.5</w:t>
            </w:r>
            <w:r w:rsidRPr="00933A72">
              <w:rPr>
                <w:sz w:val="18"/>
                <w:szCs w:val="18"/>
                <w:lang w:eastAsia="zh-CN"/>
              </w:rPr>
              <w:t>ms</w:t>
            </w:r>
          </w:p>
        </w:tc>
      </w:tr>
      <w:tr w:rsidR="0029521C" w14:paraId="12F42A6D" w14:textId="77777777" w:rsidTr="002D45D0">
        <w:trPr>
          <w:jc w:val="center"/>
        </w:trPr>
        <w:tc>
          <w:tcPr>
            <w:tcW w:w="4135" w:type="dxa"/>
            <w:vAlign w:val="center"/>
          </w:tcPr>
          <w:p w14:paraId="301E1CEE" w14:textId="77777777" w:rsidR="0029521C" w:rsidRPr="00933A72" w:rsidRDefault="0029521C" w:rsidP="002D45D0">
            <w:pPr>
              <w:rPr>
                <w:b/>
                <w:bCs/>
                <w:sz w:val="18"/>
                <w:szCs w:val="18"/>
                <w:lang w:eastAsia="zh-CN"/>
              </w:rPr>
            </w:pPr>
            <w:r w:rsidRPr="00933A72">
              <w:rPr>
                <w:b/>
                <w:bCs/>
                <w:sz w:val="18"/>
                <w:szCs w:val="18"/>
                <w:lang w:eastAsia="zh-CN"/>
              </w:rPr>
              <w:t>sum</w:t>
            </w:r>
          </w:p>
        </w:tc>
        <w:tc>
          <w:tcPr>
            <w:tcW w:w="1350" w:type="dxa"/>
            <w:vAlign w:val="center"/>
          </w:tcPr>
          <w:p w14:paraId="0E489E78" w14:textId="77777777" w:rsidR="0029521C" w:rsidRPr="00933A72" w:rsidRDefault="0029521C" w:rsidP="002D45D0">
            <w:pPr>
              <w:rPr>
                <w:b/>
                <w:bCs/>
                <w:sz w:val="18"/>
                <w:szCs w:val="18"/>
                <w:lang w:eastAsia="zh-CN"/>
              </w:rPr>
            </w:pPr>
            <w:r w:rsidRPr="00933A72">
              <w:rPr>
                <w:b/>
                <w:bCs/>
                <w:sz w:val="18"/>
                <w:szCs w:val="18"/>
                <w:lang w:eastAsia="zh-CN"/>
              </w:rPr>
              <w:t>2.4ms</w:t>
            </w:r>
          </w:p>
        </w:tc>
      </w:tr>
    </w:tbl>
    <w:p w14:paraId="17156379" w14:textId="7EC7F1F4" w:rsidR="0007782F" w:rsidRDefault="0007782F" w:rsidP="0007782F">
      <w:pPr>
        <w:jc w:val="both"/>
        <w:rPr>
          <w:sz w:val="20"/>
          <w:szCs w:val="20"/>
          <w:lang w:eastAsia="zh-CN"/>
        </w:rPr>
      </w:pPr>
    </w:p>
    <w:p w14:paraId="579A1C0B" w14:textId="77777777" w:rsidR="0029521C" w:rsidRPr="00F838FC" w:rsidRDefault="0029521C" w:rsidP="0007782F">
      <w:pPr>
        <w:jc w:val="both"/>
        <w:rPr>
          <w:sz w:val="20"/>
          <w:szCs w:val="20"/>
          <w:lang w:eastAsia="zh-CN"/>
        </w:rPr>
      </w:pPr>
    </w:p>
    <w:p w14:paraId="6002D355" w14:textId="77777777" w:rsidR="0029521C" w:rsidRDefault="0029521C" w:rsidP="0029521C">
      <w:pPr>
        <w:jc w:val="both"/>
        <w:rPr>
          <w:sz w:val="20"/>
          <w:szCs w:val="20"/>
          <w:lang w:val="en-GB" w:eastAsia="zh-CN"/>
        </w:rPr>
      </w:pPr>
    </w:p>
    <w:p w14:paraId="4BA775D8" w14:textId="76A2D644" w:rsidR="0029521C" w:rsidRPr="0029521C" w:rsidRDefault="0029521C" w:rsidP="0029521C">
      <w:pPr>
        <w:jc w:val="both"/>
        <w:rPr>
          <w:sz w:val="20"/>
          <w:szCs w:val="20"/>
          <w:lang w:val="en-GB" w:eastAsia="zh-CN"/>
        </w:rPr>
      </w:pPr>
      <w:r w:rsidRPr="0029521C">
        <w:rPr>
          <w:sz w:val="20"/>
          <w:szCs w:val="20"/>
          <w:lang w:val="en-GB" w:eastAsia="zh-CN"/>
        </w:rPr>
        <w:t xml:space="preserve">While the above analysis seems quite promising in achieving the physical layer latency for positioning estimation in the order of few </w:t>
      </w:r>
      <w:proofErr w:type="spellStart"/>
      <w:r w:rsidRPr="0029521C">
        <w:rPr>
          <w:sz w:val="20"/>
          <w:szCs w:val="20"/>
          <w:lang w:val="en-GB" w:eastAsia="zh-CN"/>
        </w:rPr>
        <w:t>ms</w:t>
      </w:r>
      <w:proofErr w:type="spellEnd"/>
      <w:r w:rsidRPr="0029521C">
        <w:rPr>
          <w:sz w:val="20"/>
          <w:szCs w:val="20"/>
          <w:lang w:val="en-GB" w:eastAsia="zh-CN"/>
        </w:rPr>
        <w:t xml:space="preserve"> and just by relying on Rel-16 specifications, we have to recall that within our analysis, we made a substantial assumption on PRS aligned with MGL. As can be observed from discussion and analysis above, if PRS </w:t>
      </w:r>
      <w:r w:rsidRPr="0029521C">
        <w:rPr>
          <w:sz w:val="20"/>
          <w:szCs w:val="20"/>
          <w:lang w:val="en-GB" w:eastAsia="zh-CN"/>
        </w:rPr>
        <w:lastRenderedPageBreak/>
        <w:t xml:space="preserve">periodicity is not aligned with MGL, an average latency as half of the PRS periodicity would be introduced to the above 2.4ms latency number. That is, e.g. an additional 10 </w:t>
      </w:r>
      <w:proofErr w:type="spellStart"/>
      <w:r w:rsidRPr="0029521C">
        <w:rPr>
          <w:sz w:val="20"/>
          <w:szCs w:val="20"/>
          <w:lang w:val="en-GB" w:eastAsia="zh-CN"/>
        </w:rPr>
        <w:t>ms</w:t>
      </w:r>
      <w:proofErr w:type="spellEnd"/>
      <w:r w:rsidRPr="0029521C">
        <w:rPr>
          <w:sz w:val="20"/>
          <w:szCs w:val="20"/>
          <w:lang w:val="en-GB" w:eastAsia="zh-CN"/>
        </w:rPr>
        <w:t xml:space="preserve"> for a PRS with 20 </w:t>
      </w:r>
      <w:proofErr w:type="spellStart"/>
      <w:r w:rsidRPr="0029521C">
        <w:rPr>
          <w:sz w:val="20"/>
          <w:szCs w:val="20"/>
          <w:lang w:val="en-GB" w:eastAsia="zh-CN"/>
        </w:rPr>
        <w:t>ms</w:t>
      </w:r>
      <w:proofErr w:type="spellEnd"/>
      <w:r w:rsidRPr="0029521C">
        <w:rPr>
          <w:sz w:val="20"/>
          <w:szCs w:val="20"/>
          <w:lang w:val="en-GB" w:eastAsia="zh-CN"/>
        </w:rPr>
        <w:t xml:space="preserve"> periodicity. Of course, the lower periodicity the lower alignment delay but that is at the cost of more network overhead, i.e. less network efficiency, while we should note that improving network efficiency is another objective of this SI.      </w:t>
      </w:r>
    </w:p>
    <w:p w14:paraId="4752E6F8" w14:textId="77777777" w:rsidR="0029521C" w:rsidRDefault="0029521C" w:rsidP="0029521C">
      <w:pPr>
        <w:jc w:val="both"/>
        <w:rPr>
          <w:sz w:val="20"/>
          <w:szCs w:val="20"/>
          <w:lang w:val="en-GB" w:eastAsia="zh-CN"/>
        </w:rPr>
      </w:pPr>
    </w:p>
    <w:p w14:paraId="7260B363" w14:textId="24D62B96" w:rsidR="0029521C" w:rsidRPr="0029521C" w:rsidRDefault="0029521C" w:rsidP="0029521C">
      <w:pPr>
        <w:jc w:val="both"/>
        <w:rPr>
          <w:sz w:val="20"/>
          <w:szCs w:val="20"/>
          <w:lang w:val="en-GB" w:eastAsia="zh-CN"/>
        </w:rPr>
      </w:pPr>
      <w:r w:rsidRPr="0029521C">
        <w:rPr>
          <w:sz w:val="20"/>
          <w:szCs w:val="20"/>
          <w:lang w:val="en-GB" w:eastAsia="zh-CN"/>
        </w:rPr>
        <w:t>Based on the above discussions, we have the following observations:</w:t>
      </w:r>
    </w:p>
    <w:p w14:paraId="02CEC798" w14:textId="77777777" w:rsidR="0029521C" w:rsidRPr="0029521C" w:rsidRDefault="0029521C" w:rsidP="0029521C">
      <w:pPr>
        <w:spacing w:before="180"/>
        <w:jc w:val="both"/>
        <w:rPr>
          <w:sz w:val="20"/>
          <w:szCs w:val="20"/>
          <w:lang w:val="en-GB" w:eastAsia="zh-CN"/>
        </w:rPr>
      </w:pPr>
      <w:r w:rsidRPr="0029521C">
        <w:rPr>
          <w:b/>
          <w:color w:val="000000" w:themeColor="text1"/>
          <w:sz w:val="20"/>
          <w:szCs w:val="20"/>
          <w:lang w:eastAsia="zh-CN"/>
        </w:rPr>
        <w:t>Observation 1</w:t>
      </w:r>
      <w:r w:rsidRPr="0029521C">
        <w:rPr>
          <w:sz w:val="20"/>
          <w:szCs w:val="20"/>
          <w:lang w:val="en-GB" w:eastAsia="zh-CN"/>
        </w:rPr>
        <w:t xml:space="preserve">: Physical layer latency on DL PRS measurement and reporting highly depends on the PRS periodicity. </w:t>
      </w:r>
    </w:p>
    <w:p w14:paraId="51CBB19D" w14:textId="1395E440" w:rsidR="0029521C" w:rsidRDefault="0029521C" w:rsidP="0029521C">
      <w:pPr>
        <w:spacing w:before="180"/>
        <w:jc w:val="both"/>
        <w:rPr>
          <w:sz w:val="20"/>
          <w:szCs w:val="20"/>
          <w:lang w:val="en-GB" w:eastAsia="zh-CN"/>
        </w:rPr>
      </w:pPr>
      <w:r w:rsidRPr="0029521C">
        <w:rPr>
          <w:b/>
          <w:color w:val="000000" w:themeColor="text1"/>
          <w:sz w:val="20"/>
          <w:szCs w:val="20"/>
          <w:lang w:eastAsia="zh-CN"/>
        </w:rPr>
        <w:t>Observation 2</w:t>
      </w:r>
      <w:r w:rsidRPr="0029521C">
        <w:rPr>
          <w:sz w:val="20"/>
          <w:szCs w:val="20"/>
          <w:lang w:val="en-GB" w:eastAsia="zh-CN"/>
        </w:rPr>
        <w:t xml:space="preserve">: Under Rel-16 specification, L1 latency becomes smaller with shorter PRS periodicities, </w:t>
      </w:r>
      <w:proofErr w:type="spellStart"/>
      <w:r w:rsidRPr="0029521C">
        <w:rPr>
          <w:sz w:val="20"/>
          <w:szCs w:val="20"/>
          <w:lang w:val="en-GB" w:eastAsia="zh-CN"/>
        </w:rPr>
        <w:t>i.e</w:t>
      </w:r>
      <w:proofErr w:type="spellEnd"/>
      <w:r w:rsidRPr="0029521C">
        <w:rPr>
          <w:sz w:val="20"/>
          <w:szCs w:val="20"/>
          <w:lang w:val="en-GB" w:eastAsia="zh-CN"/>
        </w:rPr>
        <w:t xml:space="preserve"> at the cost of larger NW overhead. </w:t>
      </w:r>
    </w:p>
    <w:p w14:paraId="78622DEF" w14:textId="77777777" w:rsidR="007F61A7" w:rsidRPr="0029521C" w:rsidRDefault="007F61A7" w:rsidP="0029521C">
      <w:pPr>
        <w:spacing w:before="180"/>
        <w:jc w:val="both"/>
        <w:rPr>
          <w:sz w:val="20"/>
          <w:szCs w:val="20"/>
          <w:lang w:val="en-GB" w:eastAsia="zh-CN"/>
        </w:rPr>
      </w:pPr>
    </w:p>
    <w:p w14:paraId="061F3E56" w14:textId="77777777" w:rsidR="00F838FC" w:rsidRDefault="00F838FC" w:rsidP="00A65A3E">
      <w:pPr>
        <w:jc w:val="both"/>
        <w:rPr>
          <w:sz w:val="20"/>
          <w:szCs w:val="20"/>
          <w:lang w:eastAsia="zh-CN"/>
        </w:rPr>
      </w:pPr>
    </w:p>
    <w:p w14:paraId="35183B4C" w14:textId="77777777" w:rsidR="00854A60" w:rsidRPr="00FB330B" w:rsidRDefault="009C5A97" w:rsidP="00FB330B">
      <w:pPr>
        <w:pStyle w:val="Heading1"/>
      </w:pPr>
      <w:r w:rsidRPr="00FB330B">
        <w:t>Conclusion</w:t>
      </w:r>
      <w:r w:rsidR="004424BC" w:rsidRPr="00FB330B">
        <w:t>s</w:t>
      </w:r>
    </w:p>
    <w:p w14:paraId="36202CAD" w14:textId="77777777" w:rsidR="007E4464" w:rsidRPr="007E4464" w:rsidRDefault="007E4464" w:rsidP="007E4464">
      <w:pPr>
        <w:jc w:val="both"/>
        <w:rPr>
          <w:sz w:val="20"/>
          <w:szCs w:val="20"/>
        </w:rPr>
      </w:pPr>
      <w:r w:rsidRPr="007E4464">
        <w:rPr>
          <w:sz w:val="20"/>
          <w:szCs w:val="20"/>
        </w:rPr>
        <w:t>In this contribution, we provided our initial analysis and views on physical layer latency for DL positioning measurement and reporting, based on Rel-16 specification. We made the following observations:</w:t>
      </w:r>
    </w:p>
    <w:p w14:paraId="32F0EE7F" w14:textId="77777777" w:rsidR="007E4464" w:rsidRPr="0029521C" w:rsidRDefault="007E4464" w:rsidP="007E4464">
      <w:pPr>
        <w:spacing w:before="180"/>
        <w:jc w:val="both"/>
        <w:rPr>
          <w:sz w:val="20"/>
          <w:szCs w:val="20"/>
          <w:lang w:val="en-GB" w:eastAsia="zh-CN"/>
        </w:rPr>
      </w:pPr>
      <w:r w:rsidRPr="0029521C">
        <w:rPr>
          <w:b/>
          <w:color w:val="000000" w:themeColor="text1"/>
          <w:sz w:val="20"/>
          <w:szCs w:val="20"/>
          <w:lang w:eastAsia="zh-CN"/>
        </w:rPr>
        <w:t>Observation 1</w:t>
      </w:r>
      <w:r w:rsidRPr="0029521C">
        <w:rPr>
          <w:sz w:val="20"/>
          <w:szCs w:val="20"/>
          <w:lang w:val="en-GB" w:eastAsia="zh-CN"/>
        </w:rPr>
        <w:t xml:space="preserve">: Physical layer latency on DL PRS measurement and reporting highly depends on the PRS periodicity. </w:t>
      </w:r>
    </w:p>
    <w:p w14:paraId="5FFA5128" w14:textId="77777777" w:rsidR="007E4464" w:rsidRPr="0029521C" w:rsidRDefault="007E4464" w:rsidP="007E4464">
      <w:pPr>
        <w:spacing w:before="180"/>
        <w:jc w:val="both"/>
        <w:rPr>
          <w:sz w:val="20"/>
          <w:szCs w:val="20"/>
          <w:lang w:val="en-GB" w:eastAsia="zh-CN"/>
        </w:rPr>
      </w:pPr>
      <w:r w:rsidRPr="0029521C">
        <w:rPr>
          <w:b/>
          <w:color w:val="000000" w:themeColor="text1"/>
          <w:sz w:val="20"/>
          <w:szCs w:val="20"/>
          <w:lang w:eastAsia="zh-CN"/>
        </w:rPr>
        <w:t>Observation 2</w:t>
      </w:r>
      <w:r w:rsidRPr="0029521C">
        <w:rPr>
          <w:sz w:val="20"/>
          <w:szCs w:val="20"/>
          <w:lang w:val="en-GB" w:eastAsia="zh-CN"/>
        </w:rPr>
        <w:t xml:space="preserve">: Under Rel-16 specification, L1 latency becomes smaller with shorter PRS periodicities, </w:t>
      </w:r>
      <w:proofErr w:type="spellStart"/>
      <w:r w:rsidRPr="0029521C">
        <w:rPr>
          <w:sz w:val="20"/>
          <w:szCs w:val="20"/>
          <w:lang w:val="en-GB" w:eastAsia="zh-CN"/>
        </w:rPr>
        <w:t>i.e</w:t>
      </w:r>
      <w:proofErr w:type="spellEnd"/>
      <w:r w:rsidRPr="0029521C">
        <w:rPr>
          <w:sz w:val="20"/>
          <w:szCs w:val="20"/>
          <w:lang w:val="en-GB" w:eastAsia="zh-CN"/>
        </w:rPr>
        <w:t xml:space="preserve"> at the cost of larger NW overhead. </w:t>
      </w:r>
    </w:p>
    <w:p w14:paraId="377E3282" w14:textId="47D63B2A" w:rsidR="00AD649E" w:rsidRDefault="00AD649E" w:rsidP="00450183">
      <w:pPr>
        <w:jc w:val="both"/>
        <w:rPr>
          <w:sz w:val="20"/>
          <w:szCs w:val="20"/>
          <w:highlight w:val="yellow"/>
          <w:lang w:eastAsia="zh-CN"/>
        </w:rPr>
      </w:pPr>
    </w:p>
    <w:p w14:paraId="00A8893D" w14:textId="77777777" w:rsidR="00B436CB" w:rsidRDefault="00B436CB" w:rsidP="00450183">
      <w:pPr>
        <w:jc w:val="both"/>
        <w:rPr>
          <w:sz w:val="20"/>
          <w:szCs w:val="20"/>
          <w:highlight w:val="yellow"/>
          <w:lang w:eastAsia="zh-CN"/>
        </w:rPr>
      </w:pPr>
    </w:p>
    <w:p w14:paraId="6504D98A" w14:textId="77777777" w:rsidR="003E4D9A" w:rsidRPr="00450183" w:rsidRDefault="003E4D9A" w:rsidP="00450183">
      <w:pPr>
        <w:jc w:val="both"/>
        <w:rPr>
          <w:sz w:val="20"/>
          <w:szCs w:val="20"/>
          <w:highlight w:val="yellow"/>
          <w:lang w:eastAsia="zh-CN"/>
        </w:rPr>
      </w:pPr>
    </w:p>
    <w:p w14:paraId="0B7D9668" w14:textId="77777777" w:rsidR="00E05C62" w:rsidRPr="00AD02B0" w:rsidRDefault="005C63AE" w:rsidP="00E05C62">
      <w:pPr>
        <w:pStyle w:val="Heading1"/>
      </w:pPr>
      <w:r>
        <w:t>References</w:t>
      </w:r>
    </w:p>
    <w:p w14:paraId="1E0E86C0" w14:textId="77777777" w:rsidR="00410281" w:rsidRPr="00410281" w:rsidRDefault="00410281" w:rsidP="00410281">
      <w:pPr>
        <w:pStyle w:val="ListParagraph"/>
        <w:numPr>
          <w:ilvl w:val="0"/>
          <w:numId w:val="45"/>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 xml:space="preserve">RP-193237, </w:t>
      </w:r>
      <w:r w:rsidRPr="00410281">
        <w:rPr>
          <w:bCs/>
          <w:sz w:val="20"/>
          <w:szCs w:val="20"/>
          <w:lang w:val="en-GB" w:eastAsia="zh-CN"/>
        </w:rPr>
        <w:t>“</w:t>
      </w:r>
      <w:r w:rsidRPr="00410281">
        <w:rPr>
          <w:rFonts w:hint="eastAsia"/>
          <w:bCs/>
          <w:sz w:val="20"/>
          <w:szCs w:val="20"/>
          <w:lang w:val="en-GB" w:eastAsia="zh-CN"/>
        </w:rPr>
        <w:t>New SID on NR Positioning Enhancements</w:t>
      </w:r>
      <w:r w:rsidRPr="00410281">
        <w:rPr>
          <w:bCs/>
          <w:sz w:val="20"/>
          <w:szCs w:val="20"/>
          <w:lang w:val="en-GB" w:eastAsia="zh-CN"/>
        </w:rPr>
        <w:t>”</w:t>
      </w:r>
      <w:r w:rsidRPr="00410281">
        <w:rPr>
          <w:rFonts w:hint="eastAsia"/>
          <w:bCs/>
          <w:sz w:val="20"/>
          <w:szCs w:val="20"/>
          <w:lang w:val="en-GB" w:eastAsia="zh-CN"/>
        </w:rPr>
        <w:t xml:space="preserve">, </w:t>
      </w:r>
      <w:r w:rsidRPr="00410281">
        <w:rPr>
          <w:bCs/>
          <w:sz w:val="20"/>
          <w:szCs w:val="20"/>
          <w:lang w:val="en-GB" w:eastAsia="zh-CN"/>
        </w:rPr>
        <w:t>December</w:t>
      </w:r>
      <w:r w:rsidRPr="00410281">
        <w:rPr>
          <w:rFonts w:hint="eastAsia"/>
          <w:bCs/>
          <w:sz w:val="20"/>
          <w:szCs w:val="20"/>
          <w:lang w:val="en-GB" w:eastAsia="zh-CN"/>
        </w:rPr>
        <w:t xml:space="preserve"> 2019</w:t>
      </w:r>
    </w:p>
    <w:p w14:paraId="2E54432D" w14:textId="77777777" w:rsidR="00410281" w:rsidRPr="00410281" w:rsidRDefault="00410281" w:rsidP="00410281">
      <w:pPr>
        <w:pStyle w:val="ListParagraph"/>
        <w:numPr>
          <w:ilvl w:val="0"/>
          <w:numId w:val="45"/>
        </w:numPr>
        <w:rPr>
          <w:bCs/>
          <w:sz w:val="20"/>
          <w:szCs w:val="20"/>
          <w:lang w:eastAsia="zh-CN"/>
        </w:rPr>
      </w:pPr>
      <w:r w:rsidRPr="00410281">
        <w:rPr>
          <w:bCs/>
          <w:sz w:val="20"/>
          <w:szCs w:val="20"/>
          <w:lang w:val="en-GB" w:eastAsia="zh-CN"/>
        </w:rPr>
        <w:t>RP-200928, Meeting Report for TSG RAN meeting #88e</w:t>
      </w:r>
    </w:p>
    <w:p w14:paraId="71A1DD80" w14:textId="77777777" w:rsidR="00410281" w:rsidRPr="00410281" w:rsidRDefault="00410281" w:rsidP="00410281">
      <w:pPr>
        <w:pStyle w:val="ListParagraph"/>
        <w:numPr>
          <w:ilvl w:val="0"/>
          <w:numId w:val="45"/>
        </w:numPr>
        <w:rPr>
          <w:bCs/>
          <w:sz w:val="20"/>
          <w:szCs w:val="20"/>
          <w:lang w:eastAsia="zh-CN"/>
        </w:rPr>
      </w:pPr>
      <w:r w:rsidRPr="00410281">
        <w:rPr>
          <w:bCs/>
          <w:sz w:val="20"/>
          <w:szCs w:val="20"/>
          <w:lang w:eastAsia="zh-CN"/>
        </w:rPr>
        <w:t>Chairman’s Notes RAN1#101-e final</w:t>
      </w:r>
    </w:p>
    <w:bookmarkEnd w:id="1"/>
    <w:bookmarkEnd w:id="2"/>
    <w:bookmarkEnd w:id="3"/>
    <w:p w14:paraId="5F0806BA" w14:textId="77777777" w:rsidR="000D07AC" w:rsidRDefault="000D07AC" w:rsidP="004B6844">
      <w:pPr>
        <w:pStyle w:val="ListParagraph"/>
        <w:rPr>
          <w:sz w:val="20"/>
          <w:szCs w:val="20"/>
          <w:lang w:eastAsia="zh-CN"/>
        </w:rPr>
      </w:pPr>
    </w:p>
    <w:p w14:paraId="4A686CFA" w14:textId="77777777" w:rsidR="00464B62" w:rsidRPr="00464B62" w:rsidRDefault="00464B62" w:rsidP="00464B62">
      <w:pPr>
        <w:rPr>
          <w:sz w:val="20"/>
          <w:szCs w:val="20"/>
          <w:lang w:eastAsia="zh-CN"/>
        </w:rPr>
      </w:pPr>
    </w:p>
    <w:p w14:paraId="5E927100" w14:textId="7E0C4E40" w:rsidR="008E412C" w:rsidRDefault="008E412C" w:rsidP="008E412C">
      <w:pPr>
        <w:rPr>
          <w:sz w:val="20"/>
          <w:szCs w:val="20"/>
          <w:lang w:eastAsia="zh-CN"/>
        </w:rPr>
      </w:pPr>
    </w:p>
    <w:p w14:paraId="4432B62A" w14:textId="77777777" w:rsidR="004809E3" w:rsidRDefault="004809E3" w:rsidP="008E412C">
      <w:pPr>
        <w:rPr>
          <w:sz w:val="20"/>
          <w:szCs w:val="20"/>
          <w:lang w:eastAsia="zh-CN"/>
        </w:rPr>
      </w:pPr>
    </w:p>
    <w:sectPr w:rsidR="004809E3">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A044D" w14:textId="77777777" w:rsidR="005274AD" w:rsidRDefault="005274AD">
      <w:r>
        <w:separator/>
      </w:r>
    </w:p>
  </w:endnote>
  <w:endnote w:type="continuationSeparator" w:id="0">
    <w:p w14:paraId="71830BB4" w14:textId="77777777" w:rsidR="005274AD" w:rsidRDefault="005274AD">
      <w:r>
        <w:continuationSeparator/>
      </w:r>
    </w:p>
  </w:endnote>
  <w:endnote w:type="continuationNotice" w:id="1">
    <w:p w14:paraId="7A264209" w14:textId="77777777" w:rsidR="005274AD" w:rsidRDefault="00527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614EB9" w14:textId="77777777" w:rsidR="005274AD" w:rsidRDefault="005274AD">
      <w:r>
        <w:separator/>
      </w:r>
    </w:p>
  </w:footnote>
  <w:footnote w:type="continuationSeparator" w:id="0">
    <w:p w14:paraId="490F9B33" w14:textId="77777777" w:rsidR="005274AD" w:rsidRDefault="005274AD">
      <w:r>
        <w:continuationSeparator/>
      </w:r>
    </w:p>
  </w:footnote>
  <w:footnote w:type="continuationNotice" w:id="1">
    <w:p w14:paraId="0360A74A" w14:textId="77777777" w:rsidR="005274AD" w:rsidRDefault="005274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50968"/>
    <w:multiLevelType w:val="hybridMultilevel"/>
    <w:tmpl w:val="33603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34BBA"/>
    <w:multiLevelType w:val="hybridMultilevel"/>
    <w:tmpl w:val="79AE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A1CFE"/>
    <w:multiLevelType w:val="hybridMultilevel"/>
    <w:tmpl w:val="8B165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12457"/>
    <w:multiLevelType w:val="hybridMultilevel"/>
    <w:tmpl w:val="8DA45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94501"/>
    <w:multiLevelType w:val="hybridMultilevel"/>
    <w:tmpl w:val="D09EB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B0167"/>
    <w:multiLevelType w:val="hybridMultilevel"/>
    <w:tmpl w:val="F084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8179D2"/>
    <w:multiLevelType w:val="hybridMultilevel"/>
    <w:tmpl w:val="9DA08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320626"/>
    <w:multiLevelType w:val="hybridMultilevel"/>
    <w:tmpl w:val="12127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4433C"/>
    <w:multiLevelType w:val="hybridMultilevel"/>
    <w:tmpl w:val="6172E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DA0DAA"/>
    <w:multiLevelType w:val="multilevel"/>
    <w:tmpl w:val="F8244648"/>
    <w:numStyleLink w:val="StyleBulletedSymbolsymbolLeft025Hanging0252"/>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4722D3"/>
    <w:multiLevelType w:val="hybridMultilevel"/>
    <w:tmpl w:val="736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DCA5290"/>
    <w:multiLevelType w:val="hybridMultilevel"/>
    <w:tmpl w:val="5534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2C22AB"/>
    <w:multiLevelType w:val="hybridMultilevel"/>
    <w:tmpl w:val="E48ED0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64392B7B"/>
    <w:multiLevelType w:val="hybridMultilevel"/>
    <w:tmpl w:val="7ECC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FE3648"/>
    <w:multiLevelType w:val="hybridMultilevel"/>
    <w:tmpl w:val="404E3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6D3E62"/>
    <w:multiLevelType w:val="hybridMultilevel"/>
    <w:tmpl w:val="E2B6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5416F3"/>
    <w:multiLevelType w:val="hybridMultilevel"/>
    <w:tmpl w:val="50CAB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2"/>
  </w:num>
  <w:num w:numId="2">
    <w:abstractNumId w:val="28"/>
  </w:num>
  <w:num w:numId="3">
    <w:abstractNumId w:val="17"/>
  </w:num>
  <w:num w:numId="4">
    <w:abstractNumId w:val="19"/>
  </w:num>
  <w:num w:numId="5">
    <w:abstractNumId w:val="11"/>
  </w:num>
  <w:num w:numId="6">
    <w:abstractNumId w:val="22"/>
  </w:num>
  <w:num w:numId="7">
    <w:abstractNumId w:val="31"/>
  </w:num>
  <w:num w:numId="8">
    <w:abstractNumId w:val="12"/>
  </w:num>
  <w:num w:numId="9">
    <w:abstractNumId w:val="29"/>
  </w:num>
  <w:num w:numId="10">
    <w:abstractNumId w:val="39"/>
  </w:num>
  <w:num w:numId="11">
    <w:abstractNumId w:val="7"/>
  </w:num>
  <w:num w:numId="12">
    <w:abstractNumId w:val="10"/>
  </w:num>
  <w:num w:numId="13">
    <w:abstractNumId w:val="15"/>
  </w:num>
  <w:num w:numId="14">
    <w:abstractNumId w:val="42"/>
  </w:num>
  <w:num w:numId="15">
    <w:abstractNumId w:val="26"/>
  </w:num>
  <w:num w:numId="16">
    <w:abstractNumId w:val="34"/>
  </w:num>
  <w:num w:numId="17">
    <w:abstractNumId w:val="3"/>
  </w:num>
  <w:num w:numId="18">
    <w:abstractNumId w:val="4"/>
  </w:num>
  <w:num w:numId="19">
    <w:abstractNumId w:val="23"/>
  </w:num>
  <w:num w:numId="20">
    <w:abstractNumId w:val="43"/>
  </w:num>
  <w:num w:numId="21">
    <w:abstractNumId w:val="25"/>
  </w:num>
  <w:num w:numId="22">
    <w:abstractNumId w:val="27"/>
  </w:num>
  <w:num w:numId="23">
    <w:abstractNumId w:val="37"/>
  </w:num>
  <w:num w:numId="24">
    <w:abstractNumId w:val="6"/>
  </w:num>
  <w:num w:numId="25">
    <w:abstractNumId w:val="30"/>
  </w:num>
  <w:num w:numId="26">
    <w:abstractNumId w:val="5"/>
  </w:num>
  <w:num w:numId="27">
    <w:abstractNumId w:val="9"/>
  </w:num>
  <w:num w:numId="28">
    <w:abstractNumId w:val="38"/>
  </w:num>
  <w:num w:numId="29">
    <w:abstractNumId w:val="40"/>
  </w:num>
  <w:num w:numId="30">
    <w:abstractNumId w:val="0"/>
  </w:num>
  <w:num w:numId="31">
    <w:abstractNumId w:val="14"/>
  </w:num>
  <w:num w:numId="32">
    <w:abstractNumId w:val="41"/>
  </w:num>
  <w:num w:numId="33">
    <w:abstractNumId w:val="21"/>
  </w:num>
  <w:num w:numId="34">
    <w:abstractNumId w:val="8"/>
  </w:num>
  <w:num w:numId="35">
    <w:abstractNumId w:val="24"/>
  </w:num>
  <w:num w:numId="36">
    <w:abstractNumId w:val="1"/>
  </w:num>
  <w:num w:numId="37">
    <w:abstractNumId w:val="35"/>
  </w:num>
  <w:num w:numId="38">
    <w:abstractNumId w:val="18"/>
  </w:num>
  <w:num w:numId="39">
    <w:abstractNumId w:val="36"/>
  </w:num>
  <w:num w:numId="40">
    <w:abstractNumId w:val="20"/>
  </w:num>
  <w:num w:numId="41">
    <w:abstractNumId w:val="32"/>
  </w:num>
  <w:num w:numId="42">
    <w:abstractNumId w:val="33"/>
  </w:num>
  <w:num w:numId="43">
    <w:abstractNumId w:val="16"/>
  </w:num>
  <w:num w:numId="44">
    <w:abstractNumId w:val="2"/>
  </w:num>
  <w:num w:numId="45">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118"/>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D40"/>
    <w:rsid w:val="00192062"/>
    <w:rsid w:val="001920B3"/>
    <w:rsid w:val="001927DF"/>
    <w:rsid w:val="001932FC"/>
    <w:rsid w:val="0019341A"/>
    <w:rsid w:val="00193533"/>
    <w:rsid w:val="00193A26"/>
    <w:rsid w:val="00193FD1"/>
    <w:rsid w:val="00194B49"/>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74D"/>
    <w:rsid w:val="001A3897"/>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43D"/>
    <w:rsid w:val="001A771B"/>
    <w:rsid w:val="001A7ADE"/>
    <w:rsid w:val="001B05FE"/>
    <w:rsid w:val="001B0806"/>
    <w:rsid w:val="001B0D97"/>
    <w:rsid w:val="001B0F36"/>
    <w:rsid w:val="001B1135"/>
    <w:rsid w:val="001B14F9"/>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21C"/>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60C"/>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E7"/>
    <w:rsid w:val="003E259E"/>
    <w:rsid w:val="003E2F23"/>
    <w:rsid w:val="003E33C2"/>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1082"/>
    <w:rsid w:val="005010D0"/>
    <w:rsid w:val="00501100"/>
    <w:rsid w:val="005011A2"/>
    <w:rsid w:val="005016E6"/>
    <w:rsid w:val="00501878"/>
    <w:rsid w:val="005018D9"/>
    <w:rsid w:val="00502306"/>
    <w:rsid w:val="0050238C"/>
    <w:rsid w:val="00502850"/>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4AD"/>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A0F"/>
    <w:rsid w:val="005A11B9"/>
    <w:rsid w:val="005A209A"/>
    <w:rsid w:val="005A2941"/>
    <w:rsid w:val="005A2C4F"/>
    <w:rsid w:val="005A2D3E"/>
    <w:rsid w:val="005A2DB9"/>
    <w:rsid w:val="005A2DF3"/>
    <w:rsid w:val="005A2E62"/>
    <w:rsid w:val="005A30BC"/>
    <w:rsid w:val="005A3B3D"/>
    <w:rsid w:val="005A3BA1"/>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F69"/>
    <w:rsid w:val="005B03D1"/>
    <w:rsid w:val="005B07DC"/>
    <w:rsid w:val="005B0B0E"/>
    <w:rsid w:val="005B11D3"/>
    <w:rsid w:val="005B14BE"/>
    <w:rsid w:val="005B1742"/>
    <w:rsid w:val="005B17CD"/>
    <w:rsid w:val="005B1A6F"/>
    <w:rsid w:val="005B1E75"/>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71D"/>
    <w:rsid w:val="006F4915"/>
    <w:rsid w:val="006F50BB"/>
    <w:rsid w:val="006F51DD"/>
    <w:rsid w:val="006F5639"/>
    <w:rsid w:val="006F56B9"/>
    <w:rsid w:val="006F58D4"/>
    <w:rsid w:val="006F5C2C"/>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464"/>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A7"/>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515"/>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43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36CB"/>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A97"/>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2C51"/>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34"/>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F6A6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4"/>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43"/>
      </w:numPr>
      <w:autoSpaceDE w:val="0"/>
      <w:autoSpaceDN w:val="0"/>
      <w:snapToGrid w:val="0"/>
      <w:spacing w:after="60"/>
    </w:pPr>
    <w:rPr>
      <w:rFonts w:eastAsiaTheme="minorEastAsia"/>
      <w:sz w:val="20"/>
      <w:szCs w:val="16"/>
      <w:lang w:eastAsia="en-US"/>
    </w:rPr>
  </w:style>
  <w:style w:type="paragraph" w:customStyle="1" w:styleId="3GPPText">
    <w:name w:val="3GPP Text"/>
    <w:basedOn w:val="Normal"/>
    <w:link w:val="3GPPTextChar"/>
    <w:qFormat/>
    <w:rsid w:val="0029521C"/>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9521C"/>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39</TotalTime>
  <Pages>4</Pages>
  <Words>1755</Words>
  <Characters>10007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11739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24</cp:revision>
  <cp:lastPrinted>2019-05-08T01:41:00Z</cp:lastPrinted>
  <dcterms:created xsi:type="dcterms:W3CDTF">2020-08-07T04:23:00Z</dcterms:created>
  <dcterms:modified xsi:type="dcterms:W3CDTF">2020-08-08T00:32:00Z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